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99"/>
  <w:body>
    <w:p w:rsidR="006B0319" w:rsidRPr="00717540" w:rsidRDefault="006B0319" w:rsidP="00717540">
      <w:pPr>
        <w:pStyle w:val="Textoindependiente"/>
        <w:ind w:hanging="27"/>
        <w:jc w:val="center"/>
        <w:outlineLvl w:val="0"/>
        <w:rPr>
          <w:rFonts w:ascii="Arial" w:hAnsi="Arial" w:cs="Arial"/>
          <w:sz w:val="22"/>
          <w:szCs w:val="22"/>
        </w:rPr>
      </w:pPr>
      <w:r w:rsidRPr="00717540">
        <w:rPr>
          <w:rFonts w:ascii="Arial" w:hAnsi="Arial" w:cs="Arial"/>
          <w:sz w:val="22"/>
          <w:szCs w:val="22"/>
        </w:rPr>
        <w:t>ANEXO</w:t>
      </w:r>
    </w:p>
    <w:p w:rsidR="006B0319" w:rsidRPr="00717540" w:rsidRDefault="006B0319" w:rsidP="001419DB">
      <w:pPr>
        <w:ind w:firstLine="720"/>
        <w:jc w:val="both"/>
        <w:rPr>
          <w:rFonts w:ascii="Arial" w:eastAsia="Times New Roman" w:hAnsi="Arial" w:cs="Arial"/>
          <w:spacing w:val="20"/>
          <w:sz w:val="22"/>
          <w:szCs w:val="22"/>
          <w:lang w:val="es-ES"/>
        </w:rPr>
      </w:pPr>
    </w:p>
    <w:p w:rsidR="006B0319" w:rsidRDefault="006B0319" w:rsidP="001419DB">
      <w:pPr>
        <w:ind w:firstLine="720"/>
        <w:jc w:val="both"/>
        <w:rPr>
          <w:rFonts w:ascii="Arial" w:eastAsia="Times New Roman" w:hAnsi="Arial" w:cs="Arial"/>
          <w:i/>
          <w:spacing w:val="20"/>
          <w:sz w:val="22"/>
          <w:szCs w:val="22"/>
          <w:lang w:val="es-ES"/>
        </w:rPr>
      </w:pPr>
      <w:r w:rsidRPr="00717540">
        <w:rPr>
          <w:rFonts w:ascii="Arial" w:eastAsia="Times New Roman" w:hAnsi="Arial" w:cs="Arial"/>
          <w:spacing w:val="20"/>
          <w:sz w:val="22"/>
          <w:szCs w:val="22"/>
          <w:lang w:val="es-ES"/>
        </w:rPr>
        <w:t xml:space="preserve">Artículo único. </w:t>
      </w:r>
      <w:r w:rsidRPr="00717540">
        <w:rPr>
          <w:rFonts w:ascii="Arial" w:eastAsia="Times New Roman" w:hAnsi="Arial" w:cs="Arial"/>
          <w:i/>
          <w:spacing w:val="20"/>
          <w:sz w:val="22"/>
          <w:szCs w:val="22"/>
          <w:lang w:val="es-ES"/>
        </w:rPr>
        <w:t xml:space="preserve">Modificación de </w:t>
      </w:r>
      <w:smartTag w:uri="urn:schemas-microsoft-com:office:smarttags" w:element="PersonName">
        <w:smartTagPr>
          <w:attr w:name="ProductID" w:val="la Ordenanza"/>
        </w:smartTagPr>
        <w:r w:rsidRPr="00717540">
          <w:rPr>
            <w:rFonts w:ascii="Arial" w:eastAsia="Times New Roman" w:hAnsi="Arial" w:cs="Arial"/>
            <w:i/>
            <w:spacing w:val="20"/>
            <w:sz w:val="22"/>
            <w:szCs w:val="22"/>
            <w:lang w:val="es-ES"/>
          </w:rPr>
          <w:t>la Ordenanza</w:t>
        </w:r>
      </w:smartTag>
      <w:r w:rsidRPr="00717540">
        <w:rPr>
          <w:rFonts w:ascii="Arial" w:eastAsia="Times New Roman" w:hAnsi="Arial" w:cs="Arial"/>
          <w:i/>
          <w:spacing w:val="20"/>
          <w:sz w:val="22"/>
          <w:szCs w:val="22"/>
          <w:lang w:val="es-ES"/>
        </w:rPr>
        <w:t xml:space="preserve"> </w:t>
      </w:r>
      <w:r w:rsidR="0048001A" w:rsidRPr="00717540">
        <w:rPr>
          <w:rFonts w:ascii="Arial" w:eastAsia="Times New Roman" w:hAnsi="Arial" w:cs="Arial"/>
          <w:i/>
          <w:spacing w:val="20"/>
          <w:sz w:val="22"/>
          <w:szCs w:val="22"/>
          <w:lang w:val="es-ES"/>
        </w:rPr>
        <w:t>F</w:t>
      </w:r>
      <w:r w:rsidR="00BB1F47" w:rsidRPr="00717540">
        <w:rPr>
          <w:rFonts w:ascii="Arial" w:eastAsia="Times New Roman" w:hAnsi="Arial" w:cs="Arial"/>
          <w:i/>
          <w:spacing w:val="20"/>
          <w:sz w:val="22"/>
          <w:szCs w:val="22"/>
          <w:lang w:val="es-ES"/>
        </w:rPr>
        <w:t>iscal</w:t>
      </w:r>
      <w:r w:rsidR="002C7186" w:rsidRPr="00717540">
        <w:rPr>
          <w:rFonts w:ascii="Arial" w:eastAsia="Times New Roman" w:hAnsi="Arial" w:cs="Arial"/>
          <w:i/>
          <w:spacing w:val="20"/>
          <w:sz w:val="22"/>
          <w:szCs w:val="22"/>
          <w:lang w:val="es-ES"/>
        </w:rPr>
        <w:t xml:space="preserve"> reguladora del Impuesto sobre </w:t>
      </w:r>
      <w:r w:rsidR="00F818C9">
        <w:rPr>
          <w:rFonts w:ascii="Arial" w:eastAsia="Times New Roman" w:hAnsi="Arial" w:cs="Arial"/>
          <w:i/>
          <w:spacing w:val="20"/>
          <w:sz w:val="22"/>
          <w:szCs w:val="22"/>
          <w:lang w:val="es-ES"/>
        </w:rPr>
        <w:t>Actividades Económicas</w:t>
      </w:r>
      <w:r w:rsidR="002C7186" w:rsidRPr="00717540">
        <w:rPr>
          <w:rFonts w:ascii="Arial" w:eastAsia="Times New Roman" w:hAnsi="Arial" w:cs="Arial"/>
          <w:i/>
          <w:spacing w:val="20"/>
          <w:sz w:val="22"/>
          <w:szCs w:val="22"/>
          <w:lang w:val="es-ES"/>
        </w:rPr>
        <w:t>.</w:t>
      </w:r>
    </w:p>
    <w:p w:rsidR="00717540" w:rsidRPr="00717540" w:rsidRDefault="00717540" w:rsidP="001419DB">
      <w:pPr>
        <w:ind w:firstLine="720"/>
        <w:jc w:val="both"/>
        <w:rPr>
          <w:rFonts w:ascii="Arial" w:eastAsia="Times New Roman" w:hAnsi="Arial" w:cs="Arial"/>
          <w:i/>
          <w:spacing w:val="20"/>
          <w:sz w:val="22"/>
          <w:szCs w:val="22"/>
          <w:lang w:val="es-ES"/>
        </w:rPr>
      </w:pPr>
    </w:p>
    <w:p w:rsidR="006B0319" w:rsidRDefault="006B0319" w:rsidP="001419DB">
      <w:pPr>
        <w:ind w:firstLine="720"/>
        <w:jc w:val="both"/>
        <w:rPr>
          <w:rFonts w:ascii="Arial" w:eastAsia="Times New Roman" w:hAnsi="Arial" w:cs="Arial"/>
          <w:spacing w:val="20"/>
          <w:sz w:val="22"/>
          <w:szCs w:val="22"/>
          <w:lang w:val="es-ES"/>
        </w:rPr>
      </w:pPr>
      <w:r w:rsidRPr="00717540">
        <w:rPr>
          <w:rFonts w:ascii="Arial" w:eastAsia="Times New Roman" w:hAnsi="Arial" w:cs="Arial"/>
          <w:spacing w:val="20"/>
          <w:sz w:val="22"/>
          <w:szCs w:val="22"/>
          <w:lang w:val="es-ES"/>
        </w:rPr>
        <w:t xml:space="preserve">La Ordenanza </w:t>
      </w:r>
      <w:r w:rsidR="0048001A" w:rsidRPr="00717540">
        <w:rPr>
          <w:rFonts w:ascii="Arial" w:eastAsia="Times New Roman" w:hAnsi="Arial" w:cs="Arial"/>
          <w:spacing w:val="20"/>
          <w:sz w:val="22"/>
          <w:szCs w:val="22"/>
          <w:lang w:val="es-ES"/>
        </w:rPr>
        <w:t>Fi</w:t>
      </w:r>
      <w:r w:rsidR="004A6396" w:rsidRPr="00717540">
        <w:rPr>
          <w:rFonts w:ascii="Arial" w:eastAsia="Times New Roman" w:hAnsi="Arial" w:cs="Arial"/>
          <w:spacing w:val="20"/>
          <w:sz w:val="22"/>
          <w:szCs w:val="22"/>
          <w:lang w:val="es-ES"/>
        </w:rPr>
        <w:t xml:space="preserve">scal </w:t>
      </w:r>
      <w:r w:rsidR="002C7186" w:rsidRPr="00717540">
        <w:rPr>
          <w:rFonts w:ascii="Arial" w:eastAsia="Times New Roman" w:hAnsi="Arial" w:cs="Arial"/>
          <w:spacing w:val="20"/>
          <w:sz w:val="22"/>
          <w:szCs w:val="22"/>
          <w:lang w:val="es-ES"/>
        </w:rPr>
        <w:t xml:space="preserve">reguladora del Impuesto sobre </w:t>
      </w:r>
      <w:r w:rsidR="00F818C9">
        <w:rPr>
          <w:rFonts w:ascii="Arial" w:eastAsia="Times New Roman" w:hAnsi="Arial" w:cs="Arial"/>
          <w:spacing w:val="20"/>
          <w:sz w:val="22"/>
          <w:szCs w:val="22"/>
          <w:lang w:val="es-ES"/>
        </w:rPr>
        <w:t>Actividades Económicas</w:t>
      </w:r>
      <w:r w:rsidR="002C7186" w:rsidRPr="00717540">
        <w:rPr>
          <w:rFonts w:ascii="Arial" w:eastAsia="Times New Roman" w:hAnsi="Arial" w:cs="Arial"/>
          <w:spacing w:val="20"/>
          <w:sz w:val="22"/>
          <w:szCs w:val="22"/>
          <w:lang w:val="es-ES"/>
        </w:rPr>
        <w:t xml:space="preserve"> </w:t>
      </w:r>
      <w:r w:rsidRPr="00717540">
        <w:rPr>
          <w:rFonts w:ascii="Arial" w:eastAsia="Times New Roman" w:hAnsi="Arial" w:cs="Arial"/>
          <w:spacing w:val="20"/>
          <w:sz w:val="22"/>
          <w:szCs w:val="22"/>
          <w:lang w:val="es-ES"/>
        </w:rPr>
        <w:t>queda modificada como sigue:</w:t>
      </w:r>
    </w:p>
    <w:p w:rsidR="00717540" w:rsidRPr="00717540" w:rsidRDefault="00717540" w:rsidP="001419DB">
      <w:pPr>
        <w:ind w:firstLine="720"/>
        <w:jc w:val="both"/>
        <w:rPr>
          <w:rFonts w:ascii="Arial" w:eastAsia="Times New Roman" w:hAnsi="Arial" w:cs="Arial"/>
          <w:spacing w:val="20"/>
          <w:sz w:val="22"/>
          <w:szCs w:val="22"/>
          <w:lang w:val="es-ES"/>
        </w:rPr>
      </w:pPr>
    </w:p>
    <w:p w:rsidR="00717540" w:rsidRDefault="00B94F6B" w:rsidP="001419DB">
      <w:pPr>
        <w:ind w:firstLine="720"/>
        <w:jc w:val="both"/>
        <w:rPr>
          <w:rFonts w:ascii="Arial" w:eastAsia="Times New Roman" w:hAnsi="Arial" w:cs="Arial"/>
          <w:spacing w:val="20"/>
          <w:sz w:val="22"/>
          <w:szCs w:val="22"/>
          <w:lang w:val="es-ES"/>
        </w:rPr>
      </w:pPr>
      <w:r w:rsidRPr="00894EE0">
        <w:rPr>
          <w:rFonts w:ascii="Arial" w:eastAsia="Times New Roman" w:hAnsi="Arial" w:cs="Arial"/>
          <w:spacing w:val="20"/>
          <w:sz w:val="22"/>
          <w:szCs w:val="22"/>
          <w:lang w:val="es-ES"/>
        </w:rPr>
        <w:t>Uno</w:t>
      </w:r>
      <w:r w:rsidR="008833E2" w:rsidRPr="00717540">
        <w:rPr>
          <w:rFonts w:ascii="Arial" w:eastAsia="Times New Roman" w:hAnsi="Arial" w:cs="Arial"/>
          <w:spacing w:val="20"/>
          <w:sz w:val="22"/>
          <w:szCs w:val="22"/>
          <w:lang w:val="es-ES"/>
        </w:rPr>
        <w:t xml:space="preserve">. </w:t>
      </w:r>
      <w:r w:rsidR="00753F35">
        <w:rPr>
          <w:rFonts w:ascii="Arial" w:eastAsia="Times New Roman" w:hAnsi="Arial" w:cs="Arial"/>
          <w:spacing w:val="20"/>
          <w:sz w:val="22"/>
          <w:szCs w:val="22"/>
          <w:lang w:val="es-ES"/>
        </w:rPr>
        <w:t>Se suprime el apartado 4 del artículo 15, renumerándose los actuales apartados 5, 6 y 7 como apartados 4, 5 y 6.</w:t>
      </w:r>
    </w:p>
    <w:p w:rsidR="00B75DD7" w:rsidRPr="001419DB" w:rsidRDefault="00B75DD7" w:rsidP="001419DB">
      <w:pPr>
        <w:ind w:firstLine="720"/>
        <w:jc w:val="both"/>
        <w:rPr>
          <w:rFonts w:ascii="Arial" w:eastAsia="Times New Roman" w:hAnsi="Arial" w:cs="Arial"/>
          <w:spacing w:val="20"/>
          <w:sz w:val="22"/>
          <w:szCs w:val="22"/>
          <w:lang w:val="es-ES"/>
        </w:rPr>
      </w:pPr>
    </w:p>
    <w:p w:rsidR="00A11EBD" w:rsidRDefault="00B94F6B" w:rsidP="001419DB">
      <w:pPr>
        <w:ind w:firstLine="720"/>
        <w:jc w:val="both"/>
        <w:rPr>
          <w:rFonts w:ascii="Arial" w:eastAsia="Times New Roman" w:hAnsi="Arial" w:cs="Arial"/>
          <w:spacing w:val="20"/>
          <w:sz w:val="22"/>
          <w:szCs w:val="22"/>
          <w:lang w:val="es-ES"/>
        </w:rPr>
      </w:pPr>
      <w:r w:rsidRPr="00BE1271">
        <w:rPr>
          <w:rFonts w:ascii="Arial" w:eastAsia="Times New Roman" w:hAnsi="Arial" w:cs="Arial"/>
          <w:spacing w:val="20"/>
          <w:sz w:val="22"/>
          <w:szCs w:val="22"/>
          <w:lang w:val="es-ES"/>
        </w:rPr>
        <w:t>Dos</w:t>
      </w:r>
      <w:r w:rsidR="00A11EBD" w:rsidRPr="00717540">
        <w:rPr>
          <w:rFonts w:ascii="Arial" w:eastAsia="Times New Roman" w:hAnsi="Arial" w:cs="Arial"/>
          <w:spacing w:val="20"/>
          <w:sz w:val="22"/>
          <w:szCs w:val="22"/>
          <w:lang w:val="es-ES"/>
        </w:rPr>
        <w:t xml:space="preserve">. Se </w:t>
      </w:r>
      <w:bookmarkStart w:id="0" w:name="_GoBack"/>
      <w:bookmarkEnd w:id="0"/>
      <w:r w:rsidR="00A11EBD" w:rsidRPr="00717540">
        <w:rPr>
          <w:rFonts w:ascii="Arial" w:eastAsia="Times New Roman" w:hAnsi="Arial" w:cs="Arial"/>
          <w:spacing w:val="20"/>
          <w:sz w:val="22"/>
          <w:szCs w:val="22"/>
          <w:lang w:val="es-ES"/>
        </w:rPr>
        <w:t>modifica</w:t>
      </w:r>
      <w:r w:rsidR="00C55F38">
        <w:rPr>
          <w:rFonts w:ascii="Arial" w:eastAsia="Times New Roman" w:hAnsi="Arial" w:cs="Arial"/>
          <w:spacing w:val="20"/>
          <w:sz w:val="22"/>
          <w:szCs w:val="22"/>
          <w:lang w:val="es-ES"/>
        </w:rPr>
        <w:t xml:space="preserve"> </w:t>
      </w:r>
      <w:r w:rsidR="00903C2E">
        <w:rPr>
          <w:rFonts w:ascii="Arial" w:eastAsia="Times New Roman" w:hAnsi="Arial" w:cs="Arial"/>
          <w:spacing w:val="20"/>
          <w:sz w:val="22"/>
          <w:szCs w:val="22"/>
          <w:lang w:val="es-ES"/>
        </w:rPr>
        <w:t>la</w:t>
      </w:r>
      <w:r w:rsidR="00B23416">
        <w:rPr>
          <w:rFonts w:ascii="Arial" w:eastAsia="Times New Roman" w:hAnsi="Arial" w:cs="Arial"/>
          <w:spacing w:val="20"/>
          <w:sz w:val="22"/>
          <w:szCs w:val="22"/>
          <w:lang w:val="es-ES"/>
        </w:rPr>
        <w:t xml:space="preserve"> regla </w:t>
      </w:r>
      <w:r w:rsidR="00903C2E">
        <w:rPr>
          <w:rFonts w:ascii="Arial" w:eastAsia="Times New Roman" w:hAnsi="Arial" w:cs="Arial"/>
          <w:spacing w:val="20"/>
          <w:sz w:val="22"/>
          <w:szCs w:val="22"/>
          <w:lang w:val="es-ES"/>
        </w:rPr>
        <w:t>4</w:t>
      </w:r>
      <w:r w:rsidR="00B23416">
        <w:rPr>
          <w:rFonts w:ascii="Arial" w:eastAsia="Times New Roman" w:hAnsi="Arial" w:cs="Arial"/>
          <w:spacing w:val="20"/>
          <w:sz w:val="22"/>
          <w:szCs w:val="22"/>
          <w:lang w:val="es-ES"/>
        </w:rPr>
        <w:t xml:space="preserve">ª del apartado 2 del artículo 16, que queda redactada del </w:t>
      </w:r>
      <w:r w:rsidR="00A11EBD" w:rsidRPr="00717540">
        <w:rPr>
          <w:rFonts w:ascii="Arial" w:eastAsia="Times New Roman" w:hAnsi="Arial" w:cs="Arial"/>
          <w:spacing w:val="20"/>
          <w:sz w:val="22"/>
          <w:szCs w:val="22"/>
          <w:lang w:val="es-ES"/>
        </w:rPr>
        <w:t>siguiente modo:</w:t>
      </w:r>
    </w:p>
    <w:p w:rsidR="00C55F38" w:rsidRDefault="00C55F38" w:rsidP="001419DB">
      <w:pPr>
        <w:ind w:firstLine="720"/>
        <w:jc w:val="both"/>
        <w:rPr>
          <w:rFonts w:ascii="Arial" w:eastAsia="Times New Roman" w:hAnsi="Arial" w:cs="Arial"/>
          <w:spacing w:val="20"/>
          <w:sz w:val="22"/>
          <w:szCs w:val="22"/>
          <w:lang w:val="es-ES"/>
        </w:rPr>
      </w:pPr>
    </w:p>
    <w:p w:rsidR="00B23416" w:rsidRPr="00B23416" w:rsidRDefault="00C55F38" w:rsidP="00B23416">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w:t>
      </w:r>
      <w:r w:rsidR="00B23416" w:rsidRPr="00B23416">
        <w:rPr>
          <w:rFonts w:ascii="Arial" w:eastAsia="Times New Roman" w:hAnsi="Arial" w:cs="Arial"/>
          <w:sz w:val="22"/>
          <w:szCs w:val="22"/>
          <w:lang w:val="es-ES"/>
        </w:rPr>
        <w:t>4.ª Cuando una entidad forme parte de un grupo de sociedades en el sentido del artículo 42 del Código de Comercio, el rendimiento neto a considerar será la base imponible, determinada según la regla 1.ª anterior, del conjunto de las entidades pertenecientes a dicho grupo.</w:t>
      </w:r>
    </w:p>
    <w:p w:rsidR="00B23416" w:rsidRPr="00B23416" w:rsidRDefault="00B23416" w:rsidP="00B23416">
      <w:pPr>
        <w:ind w:left="720" w:firstLine="720"/>
        <w:jc w:val="both"/>
        <w:rPr>
          <w:rFonts w:ascii="Arial" w:eastAsia="Times New Roman" w:hAnsi="Arial" w:cs="Arial"/>
          <w:sz w:val="22"/>
          <w:szCs w:val="22"/>
          <w:lang w:val="es-ES"/>
        </w:rPr>
      </w:pPr>
      <w:r w:rsidRPr="00B23416">
        <w:rPr>
          <w:rFonts w:ascii="Arial" w:eastAsia="Times New Roman" w:hAnsi="Arial" w:cs="Arial"/>
          <w:sz w:val="22"/>
          <w:szCs w:val="22"/>
          <w:lang w:val="es-ES"/>
        </w:rPr>
        <w:t>A efectos de lo dispuesto en el párrafo anterior, se entenderá que los casos del artículo 42 del Código de Comercio son los recogidos en la sección 1.ª del capítulo I de las normas para la formulación de las cuentas anuales consolidadas, aprobadas por Real Decreto 1159/2010, de 17 de septiembre.</w:t>
      </w:r>
    </w:p>
    <w:p w:rsidR="00B23416" w:rsidRPr="00B23416" w:rsidRDefault="00B23416" w:rsidP="00B23416">
      <w:pPr>
        <w:ind w:left="720" w:firstLine="720"/>
        <w:jc w:val="both"/>
        <w:rPr>
          <w:rFonts w:ascii="Arial" w:eastAsia="Times New Roman" w:hAnsi="Arial" w:cs="Arial"/>
          <w:sz w:val="22"/>
          <w:szCs w:val="22"/>
          <w:lang w:val="es-ES"/>
        </w:rPr>
      </w:pPr>
      <w:r w:rsidRPr="00B23416">
        <w:rPr>
          <w:rFonts w:ascii="Arial" w:eastAsia="Times New Roman" w:hAnsi="Arial" w:cs="Arial"/>
          <w:sz w:val="22"/>
          <w:szCs w:val="22"/>
          <w:lang w:val="es-ES"/>
        </w:rPr>
        <w:t>Para la acreditación de la existencia de dicho grupo de sociedades, deberá aportarse la siguiente documentación:</w:t>
      </w:r>
    </w:p>
    <w:p w:rsidR="00B23416" w:rsidRPr="00B23416" w:rsidRDefault="00B23416" w:rsidP="00B23416">
      <w:pPr>
        <w:ind w:left="720" w:firstLine="720"/>
        <w:jc w:val="both"/>
        <w:rPr>
          <w:rFonts w:ascii="Arial" w:eastAsia="Times New Roman" w:hAnsi="Arial" w:cs="Arial"/>
          <w:sz w:val="22"/>
          <w:szCs w:val="22"/>
          <w:lang w:val="es-ES"/>
        </w:rPr>
      </w:pPr>
      <w:r w:rsidRPr="00B23416">
        <w:rPr>
          <w:rFonts w:ascii="Arial" w:eastAsia="Times New Roman" w:hAnsi="Arial" w:cs="Arial"/>
          <w:sz w:val="22"/>
          <w:szCs w:val="22"/>
          <w:lang w:val="es-ES"/>
        </w:rPr>
        <w:t>-Cuentas anuales consolidadas, referidas al período impositivo de las declaraciones del Impuesto sobre Sociedades, Impuesto sobre la Renta de No Residentes o del Impuesto sobre la Renta de las Personas Físicas presentadas para la determinación del rendimiento económico negativo, depositadas en el Registro Mercantil, excepto cuando no exista obligación de efectuar la consolidación conforme dispone la normativa mercantil, en cuyo caso deberá presenta</w:t>
      </w:r>
      <w:r w:rsidR="00BC1563">
        <w:rPr>
          <w:rFonts w:ascii="Arial" w:eastAsia="Times New Roman" w:hAnsi="Arial" w:cs="Arial"/>
          <w:sz w:val="22"/>
          <w:szCs w:val="22"/>
          <w:lang w:val="es-ES"/>
        </w:rPr>
        <w:t xml:space="preserve">rse una declaración firmada </w:t>
      </w:r>
      <w:r w:rsidR="00BC1563" w:rsidRPr="00BC1563">
        <w:rPr>
          <w:rFonts w:ascii="Arial" w:hAnsi="Arial" w:cs="Arial"/>
          <w:sz w:val="22"/>
          <w:szCs w:val="22"/>
        </w:rPr>
        <w:t>por los administradores o, en su caso, por el representante legal de la entidad debidamente acreditado para ello</w:t>
      </w:r>
      <w:r w:rsidRPr="00B23416">
        <w:rPr>
          <w:rFonts w:ascii="Arial" w:eastAsia="Times New Roman" w:hAnsi="Arial" w:cs="Arial"/>
          <w:sz w:val="22"/>
          <w:szCs w:val="22"/>
          <w:lang w:val="es-ES"/>
        </w:rPr>
        <w:t>, indicando los motivos legales que amparen la dispensa.</w:t>
      </w:r>
    </w:p>
    <w:p w:rsidR="00C55F38" w:rsidRDefault="00B23416" w:rsidP="000D30B0">
      <w:pPr>
        <w:ind w:left="720" w:firstLine="720"/>
        <w:jc w:val="both"/>
        <w:rPr>
          <w:rFonts w:ascii="Arial" w:eastAsia="Times New Roman" w:hAnsi="Arial" w:cs="Arial"/>
          <w:sz w:val="22"/>
          <w:szCs w:val="22"/>
          <w:lang w:val="es-ES"/>
        </w:rPr>
      </w:pPr>
      <w:r w:rsidRPr="00B23416">
        <w:rPr>
          <w:rFonts w:ascii="Arial" w:eastAsia="Times New Roman" w:hAnsi="Arial" w:cs="Arial"/>
          <w:sz w:val="22"/>
          <w:szCs w:val="22"/>
          <w:lang w:val="es-ES"/>
        </w:rPr>
        <w:t xml:space="preserve">- Declaración firmada por </w:t>
      </w:r>
      <w:r w:rsidR="00BC1563" w:rsidRPr="00BC1563">
        <w:rPr>
          <w:rFonts w:ascii="Arial" w:hAnsi="Arial" w:cs="Arial"/>
          <w:sz w:val="22"/>
          <w:szCs w:val="22"/>
        </w:rPr>
        <w:t>los administradores o, en su caso, por el representante legal de la entidad debidamente acreditado para ello</w:t>
      </w:r>
      <w:r w:rsidRPr="00B23416">
        <w:rPr>
          <w:rFonts w:ascii="Arial" w:eastAsia="Times New Roman" w:hAnsi="Arial" w:cs="Arial"/>
          <w:sz w:val="22"/>
          <w:szCs w:val="22"/>
          <w:lang w:val="es-ES"/>
        </w:rPr>
        <w:t xml:space="preserve"> en la que se relacionen todas las sociedades españolas que formen parte del grupo, directa o indirectamente, haciéndose constar en la misma que no se han presentado ante la Agencia Estatal de Administración Tributaria o ante las Administraciones Forales que correspondan, más declaraciones del Impuesto sobre Sociedades o del Impuesto sobre la Renta de No Residentes que las aportadas para la acreditación del beneficio fiscal.</w:t>
      </w:r>
      <w:r w:rsidR="00C55F38">
        <w:rPr>
          <w:rFonts w:ascii="Arial" w:eastAsia="Times New Roman" w:hAnsi="Arial" w:cs="Arial"/>
          <w:sz w:val="22"/>
          <w:szCs w:val="22"/>
          <w:lang w:val="es-ES"/>
        </w:rPr>
        <w:t>»</w:t>
      </w:r>
      <w:r w:rsidR="00C55F38" w:rsidRPr="00C55F38">
        <w:rPr>
          <w:rFonts w:ascii="Arial" w:eastAsia="Times New Roman" w:hAnsi="Arial" w:cs="Arial"/>
          <w:sz w:val="22"/>
          <w:szCs w:val="22"/>
          <w:lang w:val="es-ES"/>
        </w:rPr>
        <w:t>.</w:t>
      </w:r>
    </w:p>
    <w:p w:rsidR="007C37AA" w:rsidRPr="001C5981" w:rsidRDefault="007C37AA" w:rsidP="001C5981">
      <w:pPr>
        <w:ind w:firstLine="720"/>
        <w:jc w:val="both"/>
        <w:rPr>
          <w:rFonts w:ascii="Arial" w:eastAsia="Times New Roman" w:hAnsi="Arial" w:cs="Arial"/>
          <w:spacing w:val="20"/>
          <w:sz w:val="22"/>
          <w:szCs w:val="22"/>
          <w:lang w:val="es-ES"/>
        </w:rPr>
      </w:pPr>
    </w:p>
    <w:p w:rsidR="007C37AA" w:rsidRPr="001C5981" w:rsidRDefault="007C37AA" w:rsidP="001C5981">
      <w:pPr>
        <w:ind w:firstLine="720"/>
        <w:jc w:val="both"/>
        <w:rPr>
          <w:rFonts w:ascii="Arial" w:eastAsia="Times New Roman" w:hAnsi="Arial" w:cs="Arial"/>
          <w:spacing w:val="20"/>
          <w:sz w:val="22"/>
          <w:szCs w:val="22"/>
          <w:lang w:val="es-ES"/>
        </w:rPr>
      </w:pPr>
      <w:r w:rsidRPr="001C5981">
        <w:rPr>
          <w:rFonts w:ascii="Arial" w:eastAsia="Times New Roman" w:hAnsi="Arial" w:cs="Arial"/>
          <w:spacing w:val="20"/>
          <w:sz w:val="22"/>
          <w:szCs w:val="22"/>
          <w:lang w:val="es-ES"/>
        </w:rPr>
        <w:t xml:space="preserve">Tres. Se modifica el apartado 1 de la </w:t>
      </w:r>
      <w:r w:rsidR="00240A94">
        <w:rPr>
          <w:rFonts w:ascii="Arial" w:eastAsia="Times New Roman" w:hAnsi="Arial" w:cs="Arial"/>
          <w:spacing w:val="20"/>
          <w:sz w:val="22"/>
          <w:szCs w:val="22"/>
          <w:lang w:val="es-ES"/>
        </w:rPr>
        <w:t>d</w:t>
      </w:r>
      <w:r w:rsidRPr="001C5981">
        <w:rPr>
          <w:rFonts w:ascii="Arial" w:eastAsia="Times New Roman" w:hAnsi="Arial" w:cs="Arial"/>
          <w:spacing w:val="20"/>
          <w:sz w:val="22"/>
          <w:szCs w:val="22"/>
          <w:lang w:val="es-ES"/>
        </w:rPr>
        <w:t xml:space="preserve">isposición </w:t>
      </w:r>
      <w:r w:rsidR="00240A94">
        <w:rPr>
          <w:rFonts w:ascii="Arial" w:eastAsia="Times New Roman" w:hAnsi="Arial" w:cs="Arial"/>
          <w:spacing w:val="20"/>
          <w:sz w:val="22"/>
          <w:szCs w:val="22"/>
          <w:lang w:val="es-ES"/>
        </w:rPr>
        <w:t>a</w:t>
      </w:r>
      <w:r w:rsidRPr="001C5981">
        <w:rPr>
          <w:rFonts w:ascii="Arial" w:eastAsia="Times New Roman" w:hAnsi="Arial" w:cs="Arial"/>
          <w:spacing w:val="20"/>
          <w:sz w:val="22"/>
          <w:szCs w:val="22"/>
          <w:lang w:val="es-ES"/>
        </w:rPr>
        <w:t xml:space="preserve">dicional </w:t>
      </w:r>
      <w:r w:rsidR="00240A94">
        <w:rPr>
          <w:rFonts w:ascii="Arial" w:eastAsia="Times New Roman" w:hAnsi="Arial" w:cs="Arial"/>
          <w:spacing w:val="20"/>
          <w:sz w:val="22"/>
          <w:szCs w:val="22"/>
          <w:lang w:val="es-ES"/>
        </w:rPr>
        <w:t>t</w:t>
      </w:r>
      <w:r w:rsidRPr="001C5981">
        <w:rPr>
          <w:rFonts w:ascii="Arial" w:eastAsia="Times New Roman" w:hAnsi="Arial" w:cs="Arial"/>
          <w:spacing w:val="20"/>
          <w:sz w:val="22"/>
          <w:szCs w:val="22"/>
          <w:lang w:val="es-ES"/>
        </w:rPr>
        <w:t>ercera, quedando redactada como sigue:</w:t>
      </w:r>
    </w:p>
    <w:p w:rsidR="007C37AA" w:rsidRPr="001C5981" w:rsidRDefault="007C37AA" w:rsidP="001C5981">
      <w:pPr>
        <w:ind w:firstLine="720"/>
        <w:jc w:val="both"/>
        <w:rPr>
          <w:rFonts w:ascii="Arial" w:eastAsia="Times New Roman" w:hAnsi="Arial" w:cs="Arial"/>
          <w:spacing w:val="20"/>
          <w:sz w:val="22"/>
          <w:szCs w:val="22"/>
          <w:lang w:val="es-ES"/>
        </w:rPr>
      </w:pPr>
    </w:p>
    <w:p w:rsidR="007C37AA" w:rsidRPr="007C37AA" w:rsidRDefault="007C37AA" w:rsidP="007C37AA">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w:t>
      </w:r>
      <w:r w:rsidRPr="007C37AA">
        <w:rPr>
          <w:rFonts w:ascii="Arial" w:eastAsia="Times New Roman" w:hAnsi="Arial" w:cs="Arial"/>
          <w:sz w:val="22"/>
          <w:szCs w:val="22"/>
          <w:lang w:val="es-ES"/>
        </w:rPr>
        <w:t xml:space="preserve">Tercera. </w:t>
      </w:r>
      <w:r w:rsidR="00EB3D9E">
        <w:rPr>
          <w:rFonts w:ascii="Arial" w:eastAsia="Times New Roman" w:hAnsi="Arial" w:cs="Arial"/>
          <w:sz w:val="22"/>
          <w:szCs w:val="22"/>
          <w:lang w:val="es-ES"/>
        </w:rPr>
        <w:t xml:space="preserve">1. </w:t>
      </w:r>
      <w:r w:rsidRPr="007C37AA">
        <w:rPr>
          <w:rFonts w:ascii="Arial" w:eastAsia="Times New Roman" w:hAnsi="Arial" w:cs="Arial"/>
          <w:sz w:val="22"/>
          <w:szCs w:val="22"/>
          <w:lang w:val="es-ES"/>
        </w:rPr>
        <w:t xml:space="preserve">De acuerdo con lo dispuesto en el artículo 88.2.a) del texto refundido de la Ley reguladora de las Haciendas Locales, quienes inicien una nueva actividad empresarial y tributen por cuota municipal en los </w:t>
      </w:r>
      <w:r w:rsidR="001C5981">
        <w:rPr>
          <w:rFonts w:ascii="Arial" w:eastAsia="Times New Roman" w:hAnsi="Arial" w:cs="Arial"/>
          <w:sz w:val="22"/>
          <w:szCs w:val="22"/>
          <w:lang w:val="es-ES"/>
        </w:rPr>
        <w:t xml:space="preserve">ejercicios </w:t>
      </w:r>
      <w:r w:rsidRPr="001C5981">
        <w:rPr>
          <w:rFonts w:ascii="Arial" w:eastAsia="Times New Roman" w:hAnsi="Arial" w:cs="Arial"/>
          <w:sz w:val="22"/>
          <w:szCs w:val="22"/>
          <w:lang w:val="es-ES"/>
        </w:rPr>
        <w:t>2012, 2013, 2014, 2015</w:t>
      </w:r>
      <w:r w:rsidR="00200031">
        <w:rPr>
          <w:rFonts w:ascii="Arial" w:eastAsia="Times New Roman" w:hAnsi="Arial" w:cs="Arial"/>
          <w:sz w:val="22"/>
          <w:szCs w:val="22"/>
          <w:lang w:val="es-ES"/>
        </w:rPr>
        <w:t>,</w:t>
      </w:r>
      <w:r w:rsidRPr="001C5981">
        <w:rPr>
          <w:rFonts w:ascii="Arial" w:eastAsia="Times New Roman" w:hAnsi="Arial" w:cs="Arial"/>
          <w:sz w:val="22"/>
          <w:szCs w:val="22"/>
          <w:lang w:val="es-ES"/>
        </w:rPr>
        <w:t xml:space="preserve"> 2016</w:t>
      </w:r>
      <w:r w:rsidR="00200031">
        <w:rPr>
          <w:rFonts w:ascii="Arial" w:eastAsia="Times New Roman" w:hAnsi="Arial" w:cs="Arial"/>
          <w:sz w:val="22"/>
          <w:szCs w:val="22"/>
          <w:lang w:val="es-ES"/>
        </w:rPr>
        <w:t xml:space="preserve"> y 2017</w:t>
      </w:r>
      <w:r w:rsidR="001C5981">
        <w:rPr>
          <w:rFonts w:ascii="Arial" w:eastAsia="Times New Roman" w:hAnsi="Arial" w:cs="Arial"/>
          <w:sz w:val="22"/>
          <w:szCs w:val="22"/>
          <w:lang w:val="es-ES"/>
        </w:rPr>
        <w:t>,</w:t>
      </w:r>
      <w:r w:rsidRPr="001C5981">
        <w:rPr>
          <w:rFonts w:ascii="Arial" w:eastAsia="Times New Roman" w:hAnsi="Arial" w:cs="Arial"/>
          <w:sz w:val="22"/>
          <w:szCs w:val="22"/>
          <w:lang w:val="es-ES"/>
        </w:rPr>
        <w:t xml:space="preserve"> </w:t>
      </w:r>
      <w:r w:rsidRPr="007C37AA">
        <w:rPr>
          <w:rFonts w:ascii="Arial" w:eastAsia="Times New Roman" w:hAnsi="Arial" w:cs="Arial"/>
          <w:sz w:val="22"/>
          <w:szCs w:val="22"/>
          <w:lang w:val="es-ES"/>
        </w:rPr>
        <w:t>tendrán derecho a una bonificación del 50 por 100 de la cuota del impuesto durante los períodos impositivos tercero y cuarto siguientes al del inicio de la misma</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 xml:space="preserve">La aplicación de esta bonificación requerirá que la actividad no se haya ejercido anteriormente bajo otra titularidad. Se entenderá que la actividad se ha ejercido anteriormente </w:t>
      </w:r>
      <w:r w:rsidRPr="007C37AA">
        <w:rPr>
          <w:rFonts w:ascii="Arial" w:eastAsia="Times New Roman" w:hAnsi="Arial" w:cs="Arial"/>
          <w:sz w:val="22"/>
          <w:szCs w:val="22"/>
          <w:lang w:val="es-ES"/>
        </w:rPr>
        <w:lastRenderedPageBreak/>
        <w:t>bajo otra titularidad, entre otros, en los supuestos de fusión, escisión o aportación de rama de actividad.</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El período de aplicación de la bonificación caducará transcurridos dos años desde la finalización de la exención prevista en la letra b) del artículo 5.1 de esta ordenanza.</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La bonificación se aplicará a la cuota tributaria, integrada por la cuota de tarifa ponderada por el coeficiente establecido en el artículo 14 y modificada por el coeficiente establecido en el artículo 15, ambos de la presente ordenanza.</w:t>
      </w:r>
    </w:p>
    <w:p w:rsidR="00E36E32"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 xml:space="preserve">La bonificación se practicará, en su caso, sobre la cuota resultante de aplicar, sucesivamente, las bonificaciones previstas en el apartado 1 del artículo 16 de esta ordenanza fiscal. </w:t>
      </w:r>
    </w:p>
    <w:p w:rsid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 xml:space="preserve">La bonificación establecida en esta disposición es de carácter rogado y deberá solicitarse al Ayuntamiento, para cada una de las actividades </w:t>
      </w:r>
      <w:r w:rsidRPr="00E36E32">
        <w:rPr>
          <w:rFonts w:ascii="Arial" w:eastAsia="Times New Roman" w:hAnsi="Arial" w:cs="Arial"/>
          <w:sz w:val="22"/>
          <w:szCs w:val="22"/>
          <w:lang w:val="es-ES"/>
        </w:rPr>
        <w:t>ejercidas</w:t>
      </w:r>
      <w:r w:rsidR="00E36E32">
        <w:rPr>
          <w:rFonts w:ascii="Arial" w:eastAsia="Times New Roman" w:hAnsi="Arial" w:cs="Arial"/>
          <w:b/>
          <w:sz w:val="22"/>
          <w:szCs w:val="22"/>
          <w:lang w:val="es-ES"/>
        </w:rPr>
        <w:t xml:space="preserve">, </w:t>
      </w:r>
      <w:r w:rsidR="00E36E32">
        <w:rPr>
          <w:rFonts w:ascii="Arial" w:eastAsia="Times New Roman" w:hAnsi="Arial" w:cs="Arial"/>
          <w:sz w:val="22"/>
          <w:szCs w:val="22"/>
          <w:lang w:val="es-ES"/>
        </w:rPr>
        <w:t xml:space="preserve">con anterioridad al primero de febrero del año en que sea de aplicación, </w:t>
      </w:r>
      <w:r w:rsidRPr="00E36E32">
        <w:rPr>
          <w:rFonts w:ascii="Arial" w:eastAsia="Times New Roman" w:hAnsi="Arial" w:cs="Arial"/>
          <w:sz w:val="22"/>
          <w:szCs w:val="22"/>
          <w:lang w:val="es-ES"/>
        </w:rPr>
        <w:t>no</w:t>
      </w:r>
      <w:r w:rsidRPr="007C37AA">
        <w:rPr>
          <w:rFonts w:ascii="Arial" w:eastAsia="Times New Roman" w:hAnsi="Arial" w:cs="Arial"/>
          <w:sz w:val="22"/>
          <w:szCs w:val="22"/>
          <w:lang w:val="es-ES"/>
        </w:rPr>
        <w:t xml:space="preserve"> siendo necesario reiterar, en su caso, la solicitud para el segundo período impositivo. Si se solicitara transcurrido dicho plazo, la concesión de la bonificación producirá efectos, en su caso, para el ejercicio que reste</w:t>
      </w:r>
      <w:r>
        <w:rPr>
          <w:rFonts w:ascii="Arial" w:eastAsia="Times New Roman" w:hAnsi="Arial" w:cs="Arial"/>
          <w:sz w:val="22"/>
          <w:szCs w:val="22"/>
          <w:lang w:val="es-ES"/>
        </w:rPr>
        <w:t>»</w:t>
      </w:r>
      <w:r w:rsidRPr="007C37AA">
        <w:rPr>
          <w:rFonts w:ascii="Arial" w:eastAsia="Times New Roman" w:hAnsi="Arial" w:cs="Arial"/>
          <w:sz w:val="22"/>
          <w:szCs w:val="22"/>
          <w:lang w:val="es-ES"/>
        </w:rPr>
        <w:t>.</w:t>
      </w:r>
    </w:p>
    <w:p w:rsidR="007C37AA" w:rsidRPr="001C5981" w:rsidRDefault="007C37AA" w:rsidP="001C5981">
      <w:pPr>
        <w:ind w:firstLine="720"/>
        <w:jc w:val="both"/>
        <w:rPr>
          <w:rFonts w:ascii="Arial" w:eastAsia="Times New Roman" w:hAnsi="Arial" w:cs="Arial"/>
          <w:spacing w:val="20"/>
          <w:sz w:val="22"/>
          <w:szCs w:val="22"/>
          <w:lang w:val="es-ES"/>
        </w:rPr>
      </w:pPr>
    </w:p>
    <w:p w:rsidR="007C37AA" w:rsidRDefault="001C5981" w:rsidP="001C5981">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 xml:space="preserve">Cuatro. Se modifica la </w:t>
      </w:r>
      <w:r w:rsidR="00221C46">
        <w:rPr>
          <w:rFonts w:ascii="Arial" w:eastAsia="Times New Roman" w:hAnsi="Arial" w:cs="Arial"/>
          <w:spacing w:val="20"/>
          <w:sz w:val="22"/>
          <w:szCs w:val="22"/>
          <w:lang w:val="es-ES"/>
        </w:rPr>
        <w:t>d</w:t>
      </w:r>
      <w:r>
        <w:rPr>
          <w:rFonts w:ascii="Arial" w:eastAsia="Times New Roman" w:hAnsi="Arial" w:cs="Arial"/>
          <w:spacing w:val="20"/>
          <w:sz w:val="22"/>
          <w:szCs w:val="22"/>
          <w:lang w:val="es-ES"/>
        </w:rPr>
        <w:t xml:space="preserve">isposición </w:t>
      </w:r>
      <w:r w:rsidR="00221C46">
        <w:rPr>
          <w:rFonts w:ascii="Arial" w:eastAsia="Times New Roman" w:hAnsi="Arial" w:cs="Arial"/>
          <w:spacing w:val="20"/>
          <w:sz w:val="22"/>
          <w:szCs w:val="22"/>
          <w:lang w:val="es-ES"/>
        </w:rPr>
        <w:t>a</w:t>
      </w:r>
      <w:r>
        <w:rPr>
          <w:rFonts w:ascii="Arial" w:eastAsia="Times New Roman" w:hAnsi="Arial" w:cs="Arial"/>
          <w:spacing w:val="20"/>
          <w:sz w:val="22"/>
          <w:szCs w:val="22"/>
          <w:lang w:val="es-ES"/>
        </w:rPr>
        <w:t xml:space="preserve">dicional </w:t>
      </w:r>
      <w:r w:rsidR="00221C46">
        <w:rPr>
          <w:rFonts w:ascii="Arial" w:eastAsia="Times New Roman" w:hAnsi="Arial" w:cs="Arial"/>
          <w:spacing w:val="20"/>
          <w:sz w:val="22"/>
          <w:szCs w:val="22"/>
          <w:lang w:val="es-ES"/>
        </w:rPr>
        <w:t>c</w:t>
      </w:r>
      <w:r>
        <w:rPr>
          <w:rFonts w:ascii="Arial" w:eastAsia="Times New Roman" w:hAnsi="Arial" w:cs="Arial"/>
          <w:spacing w:val="20"/>
          <w:sz w:val="22"/>
          <w:szCs w:val="22"/>
          <w:lang w:val="es-ES"/>
        </w:rPr>
        <w:t>uarta, que queda redactada como sigue:</w:t>
      </w:r>
    </w:p>
    <w:p w:rsidR="001C5981" w:rsidRPr="001C5981" w:rsidRDefault="001C5981" w:rsidP="001C5981">
      <w:pPr>
        <w:ind w:firstLine="720"/>
        <w:jc w:val="both"/>
        <w:rPr>
          <w:rFonts w:ascii="Arial" w:eastAsia="Times New Roman" w:hAnsi="Arial" w:cs="Arial"/>
          <w:spacing w:val="20"/>
          <w:sz w:val="22"/>
          <w:szCs w:val="22"/>
          <w:lang w:val="es-ES"/>
        </w:rPr>
      </w:pPr>
    </w:p>
    <w:p w:rsidR="007C37AA" w:rsidRPr="007C37AA" w:rsidRDefault="001C5981" w:rsidP="007C37AA">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w:t>
      </w:r>
      <w:r w:rsidR="007C37AA" w:rsidRPr="007C37AA">
        <w:rPr>
          <w:rFonts w:ascii="Arial" w:eastAsia="Times New Roman" w:hAnsi="Arial" w:cs="Arial"/>
          <w:sz w:val="22"/>
          <w:szCs w:val="22"/>
          <w:lang w:val="es-ES"/>
        </w:rPr>
        <w:t>Cuarta. De conformidad con lo establecido en el artículo 88.2. b) del texto refundido de la Ley reguladora de las Haciendas Locales, aprobado por Real Decreto Legislativo 2/2004, de 5 de marzo, y con efectos exclusivos para los períodos impositivos 2013, 2014, 2015</w:t>
      </w:r>
      <w:r w:rsidR="00211DC3">
        <w:rPr>
          <w:rFonts w:ascii="Arial" w:eastAsia="Times New Roman" w:hAnsi="Arial" w:cs="Arial"/>
          <w:sz w:val="22"/>
          <w:szCs w:val="22"/>
          <w:lang w:val="es-ES"/>
        </w:rPr>
        <w:t>,</w:t>
      </w:r>
      <w:r w:rsidR="007C37AA" w:rsidRPr="007C37AA">
        <w:rPr>
          <w:rFonts w:ascii="Arial" w:eastAsia="Times New Roman" w:hAnsi="Arial" w:cs="Arial"/>
          <w:sz w:val="22"/>
          <w:szCs w:val="22"/>
          <w:lang w:val="es-ES"/>
        </w:rPr>
        <w:t xml:space="preserve">  2016</w:t>
      </w:r>
      <w:r w:rsidR="00211DC3">
        <w:rPr>
          <w:rFonts w:ascii="Arial" w:eastAsia="Times New Roman" w:hAnsi="Arial" w:cs="Arial"/>
          <w:sz w:val="22"/>
          <w:szCs w:val="22"/>
          <w:lang w:val="es-ES"/>
        </w:rPr>
        <w:t xml:space="preserve"> y 2017</w:t>
      </w:r>
      <w:r w:rsidR="007C37AA" w:rsidRPr="007C37AA">
        <w:rPr>
          <w:rFonts w:ascii="Arial" w:eastAsia="Times New Roman" w:hAnsi="Arial" w:cs="Arial"/>
          <w:sz w:val="22"/>
          <w:szCs w:val="22"/>
          <w:lang w:val="es-ES"/>
        </w:rPr>
        <w:t>, se establece una bonificación por creación de empleo de hasta el 50% de la cuota correspondiente para los sujetos pasivos que tributen por cuota municipal y que hayan incrementado el promedio de su plantilla de trabajadores con contrato indefinido durante el período impositivo inmediato anterior al de la aplicación de la bonificación, en relación con el periodo anterior a aquel, en la cuantía siguiente:</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1.1) Porcentajes de incremento de plantilla con contrato indefinido igual o superior al 5%, tendrán una bonificación del 40%.</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1.2) Porcentajes de incremento de plantilla con contrato indefinido superior al 10%, tendrán una bonificación del 50%.</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En la aplicación de la bonificación se observarán las siguientes reglas:</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 xml:space="preserve">1.ª Para el cálculo del promedio de la plantilla total de la empresa y de su incremento se tomarán las personas empleadas, en los términos que disponga la legislación laboral, teniendo en cuenta la jornada contratada en relación con la jornada completa. </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2.ª Cuando una entidad forme parte de un grupo de sociedades en el sentido del artículo 42 del Código de Comercio, los requisitos y términos de la presente bonificación se referirán al conjunto de las entidades pertenecientes al grupo.</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Se entenderá que los casos del artículo 42 del Código de Comercio son los recogidos en la sección 1.ª del capítulo I de las normas para la formulación de las cuentas anuales consolidadas aprobadas por Real Decreto 1159/2010, de 17 de septiembre.</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Para la acreditación de la existencia de dicho grupo de sociedades, deberá aportarse la siguiente documentación:</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 xml:space="preserve">- Cuentas anuales consolidadas, referidas a los dos ejercicios inmediatamente anteriores al de la aplicación de la bonificación, depositadas en el Registro Mercantil, excepto cuando no exista obligación de efectuar la consolidación conforme dispone la normativa mercantil, en cuyo caso deberá presentarse una declaración firmada por </w:t>
      </w:r>
      <w:r w:rsidR="004B09B7" w:rsidRPr="00BC1563">
        <w:rPr>
          <w:rFonts w:ascii="Arial" w:hAnsi="Arial" w:cs="Arial"/>
          <w:sz w:val="22"/>
          <w:szCs w:val="22"/>
        </w:rPr>
        <w:t>los administradores o, en su caso, por el representante legal de la entidad debidamente acreditado para ello</w:t>
      </w:r>
      <w:r w:rsidRPr="007C37AA">
        <w:rPr>
          <w:rFonts w:ascii="Arial" w:eastAsia="Times New Roman" w:hAnsi="Arial" w:cs="Arial"/>
          <w:sz w:val="22"/>
          <w:szCs w:val="22"/>
          <w:lang w:val="es-ES"/>
        </w:rPr>
        <w:t>, indicando los motivos legales que amparen la dispensa.</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lastRenderedPageBreak/>
        <w:t xml:space="preserve">- Declaración firmada por </w:t>
      </w:r>
      <w:r w:rsidR="008568FE" w:rsidRPr="00BC1563">
        <w:rPr>
          <w:rFonts w:ascii="Arial" w:hAnsi="Arial" w:cs="Arial"/>
          <w:sz w:val="22"/>
          <w:szCs w:val="22"/>
        </w:rPr>
        <w:t>los administradores o, en su caso, por el representante legal de la entidad debidamente acreditado para ello</w:t>
      </w:r>
      <w:r w:rsidRPr="007C37AA">
        <w:rPr>
          <w:rFonts w:ascii="Arial" w:eastAsia="Times New Roman" w:hAnsi="Arial" w:cs="Arial"/>
          <w:sz w:val="22"/>
          <w:szCs w:val="22"/>
          <w:lang w:val="es-ES"/>
        </w:rPr>
        <w:t xml:space="preserve"> en la que se relacionen todas las sociedades españolas que formen parte del grupo, directa o indirectamente.</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3.ª La bonificación, cuando proceda, se aplicará a todas las actividades que ejerza el sujeto pasivo y tributen por cuota municipal.</w:t>
      </w:r>
    </w:p>
    <w:p w:rsidR="007C37AA" w:rsidRP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La bonificación se practicará, en su caso, sobre la cuota resultante de aplicar, sucesivamente, las bonificaciones previstas en el apartado 1 del artículo 16 y en la disposición adicional tercera de esta ordenanza.</w:t>
      </w:r>
    </w:p>
    <w:p w:rsidR="007C37AA" w:rsidRDefault="007C37AA" w:rsidP="007C37AA">
      <w:pPr>
        <w:ind w:left="720" w:firstLine="720"/>
        <w:jc w:val="both"/>
        <w:rPr>
          <w:rFonts w:ascii="Arial" w:eastAsia="Times New Roman" w:hAnsi="Arial" w:cs="Arial"/>
          <w:sz w:val="22"/>
          <w:szCs w:val="22"/>
          <w:lang w:val="es-ES"/>
        </w:rPr>
      </w:pPr>
      <w:r w:rsidRPr="007C37AA">
        <w:rPr>
          <w:rFonts w:ascii="Arial" w:eastAsia="Times New Roman" w:hAnsi="Arial" w:cs="Arial"/>
          <w:sz w:val="22"/>
          <w:szCs w:val="22"/>
          <w:lang w:val="es-ES"/>
        </w:rPr>
        <w:t>A la solicitud de bonificación habrá de acompañarse certificado expedido por la Tesorería General de la Seguridad Social en el que conste el número anual medio de trabajadores con contrato indefinido, indicándose la jornada contratada, respecto de los dos períodos impositivos anteriores a aquel en que deba surtir efecto la bonificación.</w:t>
      </w:r>
    </w:p>
    <w:p w:rsidR="001C5981" w:rsidRPr="00C55F38" w:rsidRDefault="001C5981" w:rsidP="007C37AA">
      <w:pPr>
        <w:ind w:left="720" w:firstLine="720"/>
        <w:jc w:val="both"/>
        <w:rPr>
          <w:rFonts w:ascii="Arial" w:eastAsia="Times New Roman" w:hAnsi="Arial" w:cs="Arial"/>
          <w:sz w:val="22"/>
          <w:szCs w:val="22"/>
          <w:lang w:val="es-ES"/>
        </w:rPr>
      </w:pPr>
      <w:r w:rsidRPr="001C5981">
        <w:rPr>
          <w:rFonts w:ascii="Arial" w:eastAsia="Times New Roman" w:hAnsi="Arial" w:cs="Arial"/>
          <w:sz w:val="22"/>
          <w:szCs w:val="22"/>
          <w:lang w:val="es-ES"/>
        </w:rPr>
        <w:t>La bonificación establecida en este apartado es de carácter rogado, y deberá solicitarse al Ayuntamiento</w:t>
      </w:r>
      <w:r w:rsidR="00115395">
        <w:rPr>
          <w:rFonts w:ascii="Arial" w:eastAsia="Times New Roman" w:hAnsi="Arial" w:cs="Arial"/>
          <w:sz w:val="22"/>
          <w:szCs w:val="22"/>
          <w:lang w:val="es-ES"/>
        </w:rPr>
        <w:t xml:space="preserve"> con anterioridad al primero de febrero del año en que sea de aplicación</w:t>
      </w:r>
      <w:r w:rsidRPr="001C5981">
        <w:rPr>
          <w:rFonts w:ascii="Arial" w:eastAsia="Times New Roman" w:hAnsi="Arial" w:cs="Arial"/>
          <w:sz w:val="22"/>
          <w:szCs w:val="22"/>
          <w:lang w:val="es-ES"/>
        </w:rPr>
        <w:t>».</w:t>
      </w:r>
    </w:p>
    <w:sectPr w:rsidR="001C5981" w:rsidRPr="00C55F38" w:rsidSect="00A11EBD">
      <w:footerReference w:type="even" r:id="rId7"/>
      <w:footerReference w:type="default" r:id="rId8"/>
      <w:pgSz w:w="11906" w:h="16838" w:code="9"/>
      <w:pgMar w:top="2268" w:right="1021" w:bottom="1701" w:left="102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EFF" w:rsidRDefault="00DD5EFF">
      <w:r>
        <w:separator/>
      </w:r>
    </w:p>
  </w:endnote>
  <w:endnote w:type="continuationSeparator" w:id="0">
    <w:p w:rsidR="00DD5EFF" w:rsidRDefault="00DD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panose1 w:val="020B0602020204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altName w:val="Lato Black"/>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Default="00F63474" w:rsidP="003B30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24B">
      <w:rPr>
        <w:rStyle w:val="Nmerodepgina"/>
        <w:noProof/>
      </w:rPr>
      <w:t>1</w:t>
    </w:r>
    <w:r>
      <w:rPr>
        <w:rStyle w:val="Nmerodepgina"/>
      </w:rPr>
      <w:fldChar w:fldCharType="end"/>
    </w:r>
  </w:p>
  <w:p w:rsidR="00F63474" w:rsidRDefault="00F63474" w:rsidP="00F71A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Pr="00D55C25" w:rsidRDefault="00F63474" w:rsidP="003B30F5">
    <w:pPr>
      <w:pStyle w:val="Piedepgina"/>
      <w:framePr w:wrap="around" w:vAnchor="text" w:hAnchor="margin" w:xAlign="right" w:y="1"/>
      <w:rPr>
        <w:rStyle w:val="Nmerodepgina"/>
        <w:rFonts w:ascii="Arial" w:hAnsi="Arial" w:cs="Arial"/>
        <w:sz w:val="16"/>
        <w:szCs w:val="16"/>
      </w:rPr>
    </w:pPr>
    <w:r w:rsidRPr="00D55C25">
      <w:rPr>
        <w:rStyle w:val="Nmerodepgina"/>
        <w:rFonts w:ascii="Arial" w:hAnsi="Arial" w:cs="Arial"/>
        <w:sz w:val="16"/>
        <w:szCs w:val="16"/>
      </w:rPr>
      <w:fldChar w:fldCharType="begin"/>
    </w:r>
    <w:r w:rsidRPr="00D55C25">
      <w:rPr>
        <w:rStyle w:val="Nmerodepgina"/>
        <w:rFonts w:ascii="Arial" w:hAnsi="Arial" w:cs="Arial"/>
        <w:sz w:val="16"/>
        <w:szCs w:val="16"/>
      </w:rPr>
      <w:instrText xml:space="preserve">PAGE  </w:instrText>
    </w:r>
    <w:r w:rsidRPr="00D55C25">
      <w:rPr>
        <w:rStyle w:val="Nmerodepgina"/>
        <w:rFonts w:ascii="Arial" w:hAnsi="Arial" w:cs="Arial"/>
        <w:sz w:val="16"/>
        <w:szCs w:val="16"/>
      </w:rPr>
      <w:fldChar w:fldCharType="separate"/>
    </w:r>
    <w:r w:rsidR="00F944C1">
      <w:rPr>
        <w:rStyle w:val="Nmerodepgina"/>
        <w:rFonts w:ascii="Arial" w:hAnsi="Arial" w:cs="Arial"/>
        <w:noProof/>
        <w:sz w:val="16"/>
        <w:szCs w:val="16"/>
      </w:rPr>
      <w:t>2</w:t>
    </w:r>
    <w:r w:rsidRPr="00D55C25">
      <w:rPr>
        <w:rStyle w:val="Nmerodepgina"/>
        <w:rFonts w:ascii="Arial" w:hAnsi="Arial" w:cs="Arial"/>
        <w:sz w:val="16"/>
        <w:szCs w:val="16"/>
      </w:rPr>
      <w:fldChar w:fldCharType="end"/>
    </w:r>
  </w:p>
  <w:p w:rsidR="00F63474" w:rsidRDefault="00F63474" w:rsidP="00F71A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EFF" w:rsidRDefault="00DD5EFF">
      <w:r>
        <w:separator/>
      </w:r>
    </w:p>
  </w:footnote>
  <w:footnote w:type="continuationSeparator" w:id="0">
    <w:p w:rsidR="00DD5EFF" w:rsidRDefault="00DD5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8CFE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E76E4C"/>
    <w:multiLevelType w:val="hybridMultilevel"/>
    <w:tmpl w:val="B6B4BF4E"/>
    <w:lvl w:ilvl="0" w:tplc="C13E05E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12D23A88"/>
    <w:multiLevelType w:val="hybridMultilevel"/>
    <w:tmpl w:val="87288B2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5E36676"/>
    <w:multiLevelType w:val="hybridMultilevel"/>
    <w:tmpl w:val="025A77D2"/>
    <w:lvl w:ilvl="0" w:tplc="A200434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24963764"/>
    <w:multiLevelType w:val="multilevel"/>
    <w:tmpl w:val="D0EA20E4"/>
    <w:lvl w:ilvl="0">
      <w:start w:val="4"/>
      <w:numFmt w:val="lowerLetter"/>
      <w:lvlText w:val="%1)"/>
      <w:lvlJc w:val="left"/>
      <w:pPr>
        <w:tabs>
          <w:tab w:val="num" w:pos="108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5CF2ED2"/>
    <w:multiLevelType w:val="hybridMultilevel"/>
    <w:tmpl w:val="8C9EFE8A"/>
    <w:lvl w:ilvl="0" w:tplc="E27405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8F96BC1"/>
    <w:multiLevelType w:val="hybridMultilevel"/>
    <w:tmpl w:val="F858CE24"/>
    <w:lvl w:ilvl="0" w:tplc="02CA5E66">
      <w:start w:val="1"/>
      <w:numFmt w:val="decimal"/>
      <w:lvlText w:val="%1."/>
      <w:lvlJc w:val="left"/>
      <w:pPr>
        <w:ind w:left="644" w:hanging="360"/>
      </w:pPr>
      <w:rPr>
        <w:rFonts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9081B72"/>
    <w:multiLevelType w:val="hybridMultilevel"/>
    <w:tmpl w:val="4900F224"/>
    <w:lvl w:ilvl="0" w:tplc="02109EBE">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FCB5A28"/>
    <w:multiLevelType w:val="multilevel"/>
    <w:tmpl w:val="99A61A76"/>
    <w:lvl w:ilvl="0">
      <w:start w:val="1"/>
      <w:numFmt w:val="decimal"/>
      <w:suff w:val="space"/>
      <w:lvlText w:val="Artículo %1."/>
      <w:lvlJc w:val="left"/>
      <w:pPr>
        <w:ind w:left="0" w:firstLine="567"/>
      </w:pPr>
      <w:rPr>
        <w:rFonts w:ascii="Arial" w:hAnsi="Arial" w:cs="Arial" w:hint="default"/>
        <w:b/>
        <w:i w:val="0"/>
        <w:color w:val="auto"/>
        <w:sz w:val="22"/>
      </w:rPr>
    </w:lvl>
    <w:lvl w:ilvl="1">
      <w:start w:val="1"/>
      <w:numFmt w:val="decimalZero"/>
      <w:isLgl/>
      <w:lvlText w:val="Secció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CE52523"/>
    <w:multiLevelType w:val="hybridMultilevel"/>
    <w:tmpl w:val="D586F37A"/>
    <w:lvl w:ilvl="0" w:tplc="60D65DC6">
      <w:start w:val="1"/>
      <w:numFmt w:val="lowerLetter"/>
      <w:lvlText w:val="%1)"/>
      <w:lvlJc w:val="left"/>
      <w:pPr>
        <w:tabs>
          <w:tab w:val="num" w:pos="1077"/>
        </w:tabs>
        <w:ind w:left="1077" w:hanging="368"/>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o:colormru v:ext="edit" colors="#1160bd,#1160c6,#115fc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D9"/>
    <w:rsid w:val="000016E3"/>
    <w:rsid w:val="0001142D"/>
    <w:rsid w:val="00020722"/>
    <w:rsid w:val="0002556F"/>
    <w:rsid w:val="00026129"/>
    <w:rsid w:val="000333BB"/>
    <w:rsid w:val="0003518A"/>
    <w:rsid w:val="000365C7"/>
    <w:rsid w:val="000445D9"/>
    <w:rsid w:val="000500C1"/>
    <w:rsid w:val="000511F0"/>
    <w:rsid w:val="00054D73"/>
    <w:rsid w:val="0005512F"/>
    <w:rsid w:val="0006086E"/>
    <w:rsid w:val="00071087"/>
    <w:rsid w:val="00074A4F"/>
    <w:rsid w:val="00083851"/>
    <w:rsid w:val="00085328"/>
    <w:rsid w:val="00085600"/>
    <w:rsid w:val="000878CE"/>
    <w:rsid w:val="00092609"/>
    <w:rsid w:val="00094662"/>
    <w:rsid w:val="000947C8"/>
    <w:rsid w:val="00096BF8"/>
    <w:rsid w:val="000A36E4"/>
    <w:rsid w:val="000B4952"/>
    <w:rsid w:val="000B6186"/>
    <w:rsid w:val="000C113A"/>
    <w:rsid w:val="000C1677"/>
    <w:rsid w:val="000C73D3"/>
    <w:rsid w:val="000D10BB"/>
    <w:rsid w:val="000D30B0"/>
    <w:rsid w:val="000D60D5"/>
    <w:rsid w:val="000E0605"/>
    <w:rsid w:val="000E22F0"/>
    <w:rsid w:val="000E47B9"/>
    <w:rsid w:val="000E4D78"/>
    <w:rsid w:val="000E5779"/>
    <w:rsid w:val="000F04BE"/>
    <w:rsid w:val="000F09B5"/>
    <w:rsid w:val="000F6995"/>
    <w:rsid w:val="000F7729"/>
    <w:rsid w:val="000F7E3D"/>
    <w:rsid w:val="001025DF"/>
    <w:rsid w:val="0010474E"/>
    <w:rsid w:val="00105607"/>
    <w:rsid w:val="001123A8"/>
    <w:rsid w:val="00114192"/>
    <w:rsid w:val="00115395"/>
    <w:rsid w:val="00117B8D"/>
    <w:rsid w:val="00121D3A"/>
    <w:rsid w:val="00131DF1"/>
    <w:rsid w:val="001345C9"/>
    <w:rsid w:val="0013480B"/>
    <w:rsid w:val="001419DB"/>
    <w:rsid w:val="001534EC"/>
    <w:rsid w:val="001559FB"/>
    <w:rsid w:val="00156828"/>
    <w:rsid w:val="00165DE9"/>
    <w:rsid w:val="00166DCC"/>
    <w:rsid w:val="00173C75"/>
    <w:rsid w:val="00182E34"/>
    <w:rsid w:val="00187506"/>
    <w:rsid w:val="00192A4F"/>
    <w:rsid w:val="00195D47"/>
    <w:rsid w:val="001A01F1"/>
    <w:rsid w:val="001A499B"/>
    <w:rsid w:val="001A777E"/>
    <w:rsid w:val="001B5000"/>
    <w:rsid w:val="001B5E67"/>
    <w:rsid w:val="001C3B83"/>
    <w:rsid w:val="001C5981"/>
    <w:rsid w:val="001D13D4"/>
    <w:rsid w:val="001D46B9"/>
    <w:rsid w:val="001D68A7"/>
    <w:rsid w:val="001E063E"/>
    <w:rsid w:val="001F0AE1"/>
    <w:rsid w:val="001F41CC"/>
    <w:rsid w:val="001F462D"/>
    <w:rsid w:val="00200031"/>
    <w:rsid w:val="00201ECD"/>
    <w:rsid w:val="00211DC3"/>
    <w:rsid w:val="00212127"/>
    <w:rsid w:val="002203D0"/>
    <w:rsid w:val="00221C46"/>
    <w:rsid w:val="00224413"/>
    <w:rsid w:val="00227EA4"/>
    <w:rsid w:val="00240A94"/>
    <w:rsid w:val="00243C4C"/>
    <w:rsid w:val="002456BA"/>
    <w:rsid w:val="00251F95"/>
    <w:rsid w:val="00256DFA"/>
    <w:rsid w:val="002606DE"/>
    <w:rsid w:val="00262E15"/>
    <w:rsid w:val="00270ED4"/>
    <w:rsid w:val="0028247E"/>
    <w:rsid w:val="00283AD1"/>
    <w:rsid w:val="002841DD"/>
    <w:rsid w:val="00284611"/>
    <w:rsid w:val="00291405"/>
    <w:rsid w:val="00294664"/>
    <w:rsid w:val="00296520"/>
    <w:rsid w:val="002969B8"/>
    <w:rsid w:val="002C2AD8"/>
    <w:rsid w:val="002C6AAE"/>
    <w:rsid w:val="002C6F49"/>
    <w:rsid w:val="002C7186"/>
    <w:rsid w:val="002C7D67"/>
    <w:rsid w:val="002D3E7A"/>
    <w:rsid w:val="002D44B3"/>
    <w:rsid w:val="002E1DC3"/>
    <w:rsid w:val="002F5CA0"/>
    <w:rsid w:val="002F7520"/>
    <w:rsid w:val="0030022E"/>
    <w:rsid w:val="003011BE"/>
    <w:rsid w:val="00302C7C"/>
    <w:rsid w:val="003108CE"/>
    <w:rsid w:val="00310C2B"/>
    <w:rsid w:val="003110BB"/>
    <w:rsid w:val="00312D67"/>
    <w:rsid w:val="003237F0"/>
    <w:rsid w:val="00324852"/>
    <w:rsid w:val="003275D1"/>
    <w:rsid w:val="00330087"/>
    <w:rsid w:val="00353E1D"/>
    <w:rsid w:val="0035408E"/>
    <w:rsid w:val="00355B0B"/>
    <w:rsid w:val="003674F0"/>
    <w:rsid w:val="003705AA"/>
    <w:rsid w:val="003716D1"/>
    <w:rsid w:val="00384074"/>
    <w:rsid w:val="00384ECA"/>
    <w:rsid w:val="00391470"/>
    <w:rsid w:val="00394261"/>
    <w:rsid w:val="00395E9C"/>
    <w:rsid w:val="003A0BC0"/>
    <w:rsid w:val="003A70A0"/>
    <w:rsid w:val="003A7839"/>
    <w:rsid w:val="003B1F94"/>
    <w:rsid w:val="003B30F5"/>
    <w:rsid w:val="003C2F47"/>
    <w:rsid w:val="003D43CB"/>
    <w:rsid w:val="003D67EB"/>
    <w:rsid w:val="003E4123"/>
    <w:rsid w:val="003F1B03"/>
    <w:rsid w:val="00402C34"/>
    <w:rsid w:val="0041757E"/>
    <w:rsid w:val="00422A5B"/>
    <w:rsid w:val="00424F47"/>
    <w:rsid w:val="004252C1"/>
    <w:rsid w:val="004307E2"/>
    <w:rsid w:val="00430AFF"/>
    <w:rsid w:val="00433BF6"/>
    <w:rsid w:val="00434685"/>
    <w:rsid w:val="004360F7"/>
    <w:rsid w:val="004366BF"/>
    <w:rsid w:val="00440C08"/>
    <w:rsid w:val="0045222E"/>
    <w:rsid w:val="00452E55"/>
    <w:rsid w:val="00462517"/>
    <w:rsid w:val="00464F89"/>
    <w:rsid w:val="00471854"/>
    <w:rsid w:val="004740DF"/>
    <w:rsid w:val="0048001A"/>
    <w:rsid w:val="0048034D"/>
    <w:rsid w:val="004851C4"/>
    <w:rsid w:val="00492513"/>
    <w:rsid w:val="004945CA"/>
    <w:rsid w:val="00494777"/>
    <w:rsid w:val="00496094"/>
    <w:rsid w:val="004A6396"/>
    <w:rsid w:val="004A76DC"/>
    <w:rsid w:val="004B09B7"/>
    <w:rsid w:val="004B0A5A"/>
    <w:rsid w:val="004B0B67"/>
    <w:rsid w:val="004B46F7"/>
    <w:rsid w:val="004B6D43"/>
    <w:rsid w:val="004B6DC7"/>
    <w:rsid w:val="004C34B7"/>
    <w:rsid w:val="004D420F"/>
    <w:rsid w:val="004E4789"/>
    <w:rsid w:val="004F6E3B"/>
    <w:rsid w:val="004F7B62"/>
    <w:rsid w:val="0050236C"/>
    <w:rsid w:val="005075EA"/>
    <w:rsid w:val="005231F5"/>
    <w:rsid w:val="00523638"/>
    <w:rsid w:val="00531BB3"/>
    <w:rsid w:val="00535922"/>
    <w:rsid w:val="00551F2F"/>
    <w:rsid w:val="00563552"/>
    <w:rsid w:val="005812E0"/>
    <w:rsid w:val="00583189"/>
    <w:rsid w:val="00592E3E"/>
    <w:rsid w:val="0059609F"/>
    <w:rsid w:val="005A33AA"/>
    <w:rsid w:val="005A51F7"/>
    <w:rsid w:val="005A62B0"/>
    <w:rsid w:val="005B5212"/>
    <w:rsid w:val="005B6E3A"/>
    <w:rsid w:val="005B6EC9"/>
    <w:rsid w:val="005D2D26"/>
    <w:rsid w:val="005D45E9"/>
    <w:rsid w:val="005D49EE"/>
    <w:rsid w:val="005D695B"/>
    <w:rsid w:val="005E15A9"/>
    <w:rsid w:val="005F419B"/>
    <w:rsid w:val="00600306"/>
    <w:rsid w:val="00603B62"/>
    <w:rsid w:val="00625118"/>
    <w:rsid w:val="006400E6"/>
    <w:rsid w:val="006434C3"/>
    <w:rsid w:val="00643A4B"/>
    <w:rsid w:val="00645F68"/>
    <w:rsid w:val="00651088"/>
    <w:rsid w:val="00666817"/>
    <w:rsid w:val="006679BF"/>
    <w:rsid w:val="00687A62"/>
    <w:rsid w:val="00690295"/>
    <w:rsid w:val="006925FD"/>
    <w:rsid w:val="006963D1"/>
    <w:rsid w:val="006A0254"/>
    <w:rsid w:val="006A5ED3"/>
    <w:rsid w:val="006B01C6"/>
    <w:rsid w:val="006B0319"/>
    <w:rsid w:val="006B1F5D"/>
    <w:rsid w:val="006B25E5"/>
    <w:rsid w:val="006B79FD"/>
    <w:rsid w:val="006C1AD3"/>
    <w:rsid w:val="006D744D"/>
    <w:rsid w:val="006E24FD"/>
    <w:rsid w:val="006E5C18"/>
    <w:rsid w:val="006F595E"/>
    <w:rsid w:val="006F5AB0"/>
    <w:rsid w:val="006F6BF8"/>
    <w:rsid w:val="0070265A"/>
    <w:rsid w:val="00711C54"/>
    <w:rsid w:val="0071231F"/>
    <w:rsid w:val="007133DA"/>
    <w:rsid w:val="007154F1"/>
    <w:rsid w:val="00717540"/>
    <w:rsid w:val="00720CCB"/>
    <w:rsid w:val="0072275E"/>
    <w:rsid w:val="00725BE7"/>
    <w:rsid w:val="007322D6"/>
    <w:rsid w:val="007327AE"/>
    <w:rsid w:val="00732D01"/>
    <w:rsid w:val="00747BCA"/>
    <w:rsid w:val="00753F35"/>
    <w:rsid w:val="00761C1E"/>
    <w:rsid w:val="007735A4"/>
    <w:rsid w:val="00773892"/>
    <w:rsid w:val="0077489E"/>
    <w:rsid w:val="007804C1"/>
    <w:rsid w:val="00787BEE"/>
    <w:rsid w:val="00787D2D"/>
    <w:rsid w:val="00790C8C"/>
    <w:rsid w:val="00795314"/>
    <w:rsid w:val="00797CFD"/>
    <w:rsid w:val="007A0D5D"/>
    <w:rsid w:val="007A144D"/>
    <w:rsid w:val="007A4A78"/>
    <w:rsid w:val="007A745C"/>
    <w:rsid w:val="007A7668"/>
    <w:rsid w:val="007B6587"/>
    <w:rsid w:val="007B79A9"/>
    <w:rsid w:val="007C37AA"/>
    <w:rsid w:val="007D014A"/>
    <w:rsid w:val="007D07D3"/>
    <w:rsid w:val="007D40DB"/>
    <w:rsid w:val="007D47CD"/>
    <w:rsid w:val="007E09DC"/>
    <w:rsid w:val="007E61D7"/>
    <w:rsid w:val="007F0907"/>
    <w:rsid w:val="007F595C"/>
    <w:rsid w:val="00805ED1"/>
    <w:rsid w:val="008072CD"/>
    <w:rsid w:val="00815B15"/>
    <w:rsid w:val="00815E29"/>
    <w:rsid w:val="00823E4B"/>
    <w:rsid w:val="00824A59"/>
    <w:rsid w:val="00827070"/>
    <w:rsid w:val="008335E1"/>
    <w:rsid w:val="008349D5"/>
    <w:rsid w:val="00836865"/>
    <w:rsid w:val="00842032"/>
    <w:rsid w:val="00855352"/>
    <w:rsid w:val="008568FE"/>
    <w:rsid w:val="0086065A"/>
    <w:rsid w:val="00861B7C"/>
    <w:rsid w:val="00863617"/>
    <w:rsid w:val="00863DB1"/>
    <w:rsid w:val="00866272"/>
    <w:rsid w:val="00875EDF"/>
    <w:rsid w:val="008803BE"/>
    <w:rsid w:val="008833E2"/>
    <w:rsid w:val="0088424B"/>
    <w:rsid w:val="00884BAB"/>
    <w:rsid w:val="00885D5C"/>
    <w:rsid w:val="008907CD"/>
    <w:rsid w:val="00894EE0"/>
    <w:rsid w:val="00897D6A"/>
    <w:rsid w:val="008A0D5A"/>
    <w:rsid w:val="008A26C0"/>
    <w:rsid w:val="008A6329"/>
    <w:rsid w:val="008B1565"/>
    <w:rsid w:val="008B34CE"/>
    <w:rsid w:val="008B47E7"/>
    <w:rsid w:val="008B6F9F"/>
    <w:rsid w:val="008C2F50"/>
    <w:rsid w:val="008D616D"/>
    <w:rsid w:val="008E3DCD"/>
    <w:rsid w:val="008E4166"/>
    <w:rsid w:val="008E6C1F"/>
    <w:rsid w:val="008F2E38"/>
    <w:rsid w:val="009024C3"/>
    <w:rsid w:val="00903C2E"/>
    <w:rsid w:val="00907F90"/>
    <w:rsid w:val="009102C9"/>
    <w:rsid w:val="00911439"/>
    <w:rsid w:val="00917171"/>
    <w:rsid w:val="00931223"/>
    <w:rsid w:val="00942995"/>
    <w:rsid w:val="00944D9A"/>
    <w:rsid w:val="00951699"/>
    <w:rsid w:val="009561CA"/>
    <w:rsid w:val="009667D6"/>
    <w:rsid w:val="0097112A"/>
    <w:rsid w:val="00974068"/>
    <w:rsid w:val="00976257"/>
    <w:rsid w:val="00976C53"/>
    <w:rsid w:val="00984EDB"/>
    <w:rsid w:val="00985FC7"/>
    <w:rsid w:val="00987828"/>
    <w:rsid w:val="00987E4E"/>
    <w:rsid w:val="00992E7A"/>
    <w:rsid w:val="00993232"/>
    <w:rsid w:val="009A0A71"/>
    <w:rsid w:val="009A2EB0"/>
    <w:rsid w:val="009B0AF3"/>
    <w:rsid w:val="009B33D8"/>
    <w:rsid w:val="009B3B15"/>
    <w:rsid w:val="009B3B4C"/>
    <w:rsid w:val="009B79E6"/>
    <w:rsid w:val="009C2AAA"/>
    <w:rsid w:val="009C4B66"/>
    <w:rsid w:val="009C55EA"/>
    <w:rsid w:val="009C6929"/>
    <w:rsid w:val="009C7ABD"/>
    <w:rsid w:val="009D26F5"/>
    <w:rsid w:val="009D52C5"/>
    <w:rsid w:val="009D6BD3"/>
    <w:rsid w:val="009D7F91"/>
    <w:rsid w:val="009E11A1"/>
    <w:rsid w:val="009E3E40"/>
    <w:rsid w:val="009E7D5E"/>
    <w:rsid w:val="009F25BA"/>
    <w:rsid w:val="009F3886"/>
    <w:rsid w:val="009F47FC"/>
    <w:rsid w:val="009F6E77"/>
    <w:rsid w:val="00A024ED"/>
    <w:rsid w:val="00A050C9"/>
    <w:rsid w:val="00A11EBD"/>
    <w:rsid w:val="00A1247C"/>
    <w:rsid w:val="00A24E0F"/>
    <w:rsid w:val="00A46201"/>
    <w:rsid w:val="00A53E21"/>
    <w:rsid w:val="00A55463"/>
    <w:rsid w:val="00A56628"/>
    <w:rsid w:val="00A621FA"/>
    <w:rsid w:val="00A64374"/>
    <w:rsid w:val="00A6542E"/>
    <w:rsid w:val="00A70B07"/>
    <w:rsid w:val="00A74C08"/>
    <w:rsid w:val="00A75AFD"/>
    <w:rsid w:val="00A81AA4"/>
    <w:rsid w:val="00A823E3"/>
    <w:rsid w:val="00A86FE6"/>
    <w:rsid w:val="00A87630"/>
    <w:rsid w:val="00A904A0"/>
    <w:rsid w:val="00A94CDF"/>
    <w:rsid w:val="00A96ECF"/>
    <w:rsid w:val="00AA3844"/>
    <w:rsid w:val="00AA4E37"/>
    <w:rsid w:val="00AA6857"/>
    <w:rsid w:val="00AA7DF3"/>
    <w:rsid w:val="00AB7BEE"/>
    <w:rsid w:val="00AC5191"/>
    <w:rsid w:val="00AC5947"/>
    <w:rsid w:val="00AD2E6D"/>
    <w:rsid w:val="00AE7095"/>
    <w:rsid w:val="00AE7E51"/>
    <w:rsid w:val="00B00955"/>
    <w:rsid w:val="00B01041"/>
    <w:rsid w:val="00B01FED"/>
    <w:rsid w:val="00B0491A"/>
    <w:rsid w:val="00B0740F"/>
    <w:rsid w:val="00B134A1"/>
    <w:rsid w:val="00B15773"/>
    <w:rsid w:val="00B1631D"/>
    <w:rsid w:val="00B16CE7"/>
    <w:rsid w:val="00B2325E"/>
    <w:rsid w:val="00B23416"/>
    <w:rsid w:val="00B2357A"/>
    <w:rsid w:val="00B2455C"/>
    <w:rsid w:val="00B2712B"/>
    <w:rsid w:val="00B3067F"/>
    <w:rsid w:val="00B31FDD"/>
    <w:rsid w:val="00B35992"/>
    <w:rsid w:val="00B375B7"/>
    <w:rsid w:val="00B433A3"/>
    <w:rsid w:val="00B44C71"/>
    <w:rsid w:val="00B61B4A"/>
    <w:rsid w:val="00B70D41"/>
    <w:rsid w:val="00B723A6"/>
    <w:rsid w:val="00B75DD7"/>
    <w:rsid w:val="00B81249"/>
    <w:rsid w:val="00B82C7D"/>
    <w:rsid w:val="00B85FB1"/>
    <w:rsid w:val="00B94F6B"/>
    <w:rsid w:val="00BA6A6C"/>
    <w:rsid w:val="00BB0AD5"/>
    <w:rsid w:val="00BB1F47"/>
    <w:rsid w:val="00BB2CC8"/>
    <w:rsid w:val="00BB3675"/>
    <w:rsid w:val="00BB3E82"/>
    <w:rsid w:val="00BB4132"/>
    <w:rsid w:val="00BC1563"/>
    <w:rsid w:val="00BC2B3C"/>
    <w:rsid w:val="00BC74F1"/>
    <w:rsid w:val="00BD203A"/>
    <w:rsid w:val="00BD7BA9"/>
    <w:rsid w:val="00BE1271"/>
    <w:rsid w:val="00BF2CDB"/>
    <w:rsid w:val="00BF6B9A"/>
    <w:rsid w:val="00C05BCE"/>
    <w:rsid w:val="00C10759"/>
    <w:rsid w:val="00C1633C"/>
    <w:rsid w:val="00C22246"/>
    <w:rsid w:val="00C23590"/>
    <w:rsid w:val="00C34433"/>
    <w:rsid w:val="00C41507"/>
    <w:rsid w:val="00C4476B"/>
    <w:rsid w:val="00C44B65"/>
    <w:rsid w:val="00C47341"/>
    <w:rsid w:val="00C5117E"/>
    <w:rsid w:val="00C52F25"/>
    <w:rsid w:val="00C54DD4"/>
    <w:rsid w:val="00C5562D"/>
    <w:rsid w:val="00C55F38"/>
    <w:rsid w:val="00C6192E"/>
    <w:rsid w:val="00C6296B"/>
    <w:rsid w:val="00C64145"/>
    <w:rsid w:val="00C712C9"/>
    <w:rsid w:val="00C7410B"/>
    <w:rsid w:val="00C85727"/>
    <w:rsid w:val="00C8715C"/>
    <w:rsid w:val="00C95316"/>
    <w:rsid w:val="00C97A12"/>
    <w:rsid w:val="00C97FBA"/>
    <w:rsid w:val="00CB059F"/>
    <w:rsid w:val="00CC3ECE"/>
    <w:rsid w:val="00CC4434"/>
    <w:rsid w:val="00CC4CC3"/>
    <w:rsid w:val="00CC78BE"/>
    <w:rsid w:val="00CE0450"/>
    <w:rsid w:val="00CE060A"/>
    <w:rsid w:val="00CE1FA1"/>
    <w:rsid w:val="00CE6D79"/>
    <w:rsid w:val="00CF05BE"/>
    <w:rsid w:val="00D10F85"/>
    <w:rsid w:val="00D13BBF"/>
    <w:rsid w:val="00D1441F"/>
    <w:rsid w:val="00D16106"/>
    <w:rsid w:val="00D3515D"/>
    <w:rsid w:val="00D37459"/>
    <w:rsid w:val="00D44E0E"/>
    <w:rsid w:val="00D514D5"/>
    <w:rsid w:val="00D5279F"/>
    <w:rsid w:val="00D55183"/>
    <w:rsid w:val="00D55861"/>
    <w:rsid w:val="00D55C25"/>
    <w:rsid w:val="00D6298F"/>
    <w:rsid w:val="00D74010"/>
    <w:rsid w:val="00D75B50"/>
    <w:rsid w:val="00D872C6"/>
    <w:rsid w:val="00D9346D"/>
    <w:rsid w:val="00D95638"/>
    <w:rsid w:val="00DA79D8"/>
    <w:rsid w:val="00DB2401"/>
    <w:rsid w:val="00DB7659"/>
    <w:rsid w:val="00DD3249"/>
    <w:rsid w:val="00DD4FAA"/>
    <w:rsid w:val="00DD5EFF"/>
    <w:rsid w:val="00DE04D2"/>
    <w:rsid w:val="00DE3618"/>
    <w:rsid w:val="00DE7364"/>
    <w:rsid w:val="00DF5DE9"/>
    <w:rsid w:val="00E00125"/>
    <w:rsid w:val="00E16057"/>
    <w:rsid w:val="00E176D9"/>
    <w:rsid w:val="00E246CE"/>
    <w:rsid w:val="00E26169"/>
    <w:rsid w:val="00E31CF7"/>
    <w:rsid w:val="00E36E32"/>
    <w:rsid w:val="00E40545"/>
    <w:rsid w:val="00E46CBB"/>
    <w:rsid w:val="00E522CD"/>
    <w:rsid w:val="00E63982"/>
    <w:rsid w:val="00E662DE"/>
    <w:rsid w:val="00E67CA7"/>
    <w:rsid w:val="00E730E9"/>
    <w:rsid w:val="00E74AC6"/>
    <w:rsid w:val="00E802EB"/>
    <w:rsid w:val="00E822F9"/>
    <w:rsid w:val="00E833F7"/>
    <w:rsid w:val="00E8393E"/>
    <w:rsid w:val="00E86462"/>
    <w:rsid w:val="00E965C6"/>
    <w:rsid w:val="00EA0AA3"/>
    <w:rsid w:val="00EA450A"/>
    <w:rsid w:val="00EA5DAC"/>
    <w:rsid w:val="00EB068B"/>
    <w:rsid w:val="00EB16B9"/>
    <w:rsid w:val="00EB3D9E"/>
    <w:rsid w:val="00EB40B5"/>
    <w:rsid w:val="00EB463F"/>
    <w:rsid w:val="00EB4D82"/>
    <w:rsid w:val="00EC2CC3"/>
    <w:rsid w:val="00EC3CC7"/>
    <w:rsid w:val="00EC45DB"/>
    <w:rsid w:val="00EC5022"/>
    <w:rsid w:val="00ED1D09"/>
    <w:rsid w:val="00ED3F0A"/>
    <w:rsid w:val="00EE0573"/>
    <w:rsid w:val="00EE1467"/>
    <w:rsid w:val="00EF17E3"/>
    <w:rsid w:val="00F04DE6"/>
    <w:rsid w:val="00F05670"/>
    <w:rsid w:val="00F13F36"/>
    <w:rsid w:val="00F20EF6"/>
    <w:rsid w:val="00F21059"/>
    <w:rsid w:val="00F2689B"/>
    <w:rsid w:val="00F27CE8"/>
    <w:rsid w:val="00F300C6"/>
    <w:rsid w:val="00F309DB"/>
    <w:rsid w:val="00F364F9"/>
    <w:rsid w:val="00F4024D"/>
    <w:rsid w:val="00F404C8"/>
    <w:rsid w:val="00F419FF"/>
    <w:rsid w:val="00F42E73"/>
    <w:rsid w:val="00F4553A"/>
    <w:rsid w:val="00F47388"/>
    <w:rsid w:val="00F566EB"/>
    <w:rsid w:val="00F573D0"/>
    <w:rsid w:val="00F63474"/>
    <w:rsid w:val="00F649F1"/>
    <w:rsid w:val="00F65587"/>
    <w:rsid w:val="00F66C9D"/>
    <w:rsid w:val="00F70D8A"/>
    <w:rsid w:val="00F71239"/>
    <w:rsid w:val="00F71A87"/>
    <w:rsid w:val="00F71EA5"/>
    <w:rsid w:val="00F75B82"/>
    <w:rsid w:val="00F76472"/>
    <w:rsid w:val="00F76664"/>
    <w:rsid w:val="00F7755B"/>
    <w:rsid w:val="00F818C9"/>
    <w:rsid w:val="00F85565"/>
    <w:rsid w:val="00F85E40"/>
    <w:rsid w:val="00F944C1"/>
    <w:rsid w:val="00FA4590"/>
    <w:rsid w:val="00FA48DF"/>
    <w:rsid w:val="00FA4F38"/>
    <w:rsid w:val="00FA60C3"/>
    <w:rsid w:val="00FB7C5F"/>
    <w:rsid w:val="00FC2574"/>
    <w:rsid w:val="00FC30D7"/>
    <w:rsid w:val="00FC3355"/>
    <w:rsid w:val="00FC3FC9"/>
    <w:rsid w:val="00FC63C6"/>
    <w:rsid w:val="00FC6A3F"/>
    <w:rsid w:val="00FD093C"/>
    <w:rsid w:val="00FD7210"/>
    <w:rsid w:val="00FF041D"/>
    <w:rsid w:val="00FF38BE"/>
    <w:rsid w:val="00FF4C8F"/>
    <w:rsid w:val="00FF4D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colormru v:ext="edit" colors="#1160bd,#1160c6,#115fc7"/>
    </o:shapedefaults>
    <o:shapelayout v:ext="edit">
      <o:idmap v:ext="edit" data="1"/>
    </o:shapelayout>
  </w:shapeDefaults>
  <w:decimalSymbol w:val=","/>
  <w:listSeparator w:val=";"/>
  <w15:chartTrackingRefBased/>
  <w15:docId w15:val="{8F916462-73EC-471A-BAD3-58C2E37F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47"/>
    <w:rPr>
      <w:sz w:val="24"/>
      <w:lang w:val="es-ES_tradnl"/>
    </w:rPr>
  </w:style>
  <w:style w:type="paragraph" w:styleId="Ttulo6">
    <w:name w:val="heading 6"/>
    <w:basedOn w:val="Normal"/>
    <w:next w:val="Normal"/>
    <w:qFormat/>
    <w:pPr>
      <w:keepNext/>
      <w:spacing w:after="120"/>
      <w:ind w:left="3544"/>
      <w:jc w:val="both"/>
      <w:outlineLvl w:val="5"/>
    </w:pPr>
    <w:rPr>
      <w:rFonts w:ascii="Arial" w:eastAsia="Arial Unicode MS"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ind w:right="638"/>
      <w:jc w:val="both"/>
    </w:pPr>
    <w:rPr>
      <w:rFonts w:ascii="Arial" w:eastAsia="Times New Roman" w:hAnsi="Arial"/>
      <w:b/>
      <w:sz w:val="22"/>
      <w:lang w:val="es-ES"/>
    </w:rPr>
  </w:style>
  <w:style w:type="paragraph" w:styleId="Sangra3detindependiente">
    <w:name w:val="Body Text Indent 3"/>
    <w:basedOn w:val="Normal"/>
    <w:pPr>
      <w:ind w:left="360" w:firstLine="540"/>
      <w:jc w:val="both"/>
    </w:pPr>
    <w:rPr>
      <w:rFonts w:ascii="Gill Sans" w:eastAsia="Times New Roman" w:hAnsi="Gill Sans" w:cs="Arial"/>
      <w:szCs w:val="24"/>
      <w:lang w:val="es-ES"/>
    </w:rPr>
  </w:style>
  <w:style w:type="paragraph" w:styleId="Textodeglobo">
    <w:name w:val="Balloon Text"/>
    <w:basedOn w:val="Normal"/>
    <w:semiHidden/>
    <w:rsid w:val="009D7F91"/>
    <w:rPr>
      <w:rFonts w:ascii="Tahoma" w:hAnsi="Tahoma" w:cs="Tahoma"/>
      <w:sz w:val="16"/>
      <w:szCs w:val="16"/>
    </w:rPr>
  </w:style>
  <w:style w:type="character" w:styleId="Nmerodepgina">
    <w:name w:val="page number"/>
    <w:basedOn w:val="Fuentedeprrafopredeter"/>
    <w:rsid w:val="00F71A87"/>
  </w:style>
  <w:style w:type="paragraph" w:styleId="Textoindependiente">
    <w:name w:val="Body Text"/>
    <w:basedOn w:val="Normal"/>
    <w:link w:val="TextoindependienteCar"/>
    <w:rsid w:val="006B0319"/>
    <w:pPr>
      <w:spacing w:after="120"/>
    </w:pPr>
  </w:style>
  <w:style w:type="paragraph" w:styleId="Mapadeldocumento">
    <w:name w:val="Document Map"/>
    <w:basedOn w:val="Normal"/>
    <w:semiHidden/>
    <w:rsid w:val="00BB3675"/>
    <w:pPr>
      <w:shd w:val="clear" w:color="auto" w:fill="000080"/>
    </w:pPr>
    <w:rPr>
      <w:rFonts w:ascii="Tahoma" w:hAnsi="Tahoma" w:cs="Tahoma"/>
      <w:sz w:val="20"/>
    </w:rPr>
  </w:style>
  <w:style w:type="table" w:styleId="Tablaconcuadrcula">
    <w:name w:val="Table Grid"/>
    <w:basedOn w:val="Tablanormal"/>
    <w:rsid w:val="0028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13BBF"/>
    <w:rPr>
      <w:rFonts w:ascii="Times New Roman" w:eastAsia="Times New Roman" w:hAnsi="Times New Roman"/>
      <w:sz w:val="20"/>
      <w:lang w:val="es-ES"/>
    </w:rPr>
  </w:style>
  <w:style w:type="character" w:styleId="Refdenotaalpie">
    <w:name w:val="footnote reference"/>
    <w:semiHidden/>
    <w:rsid w:val="00D13BBF"/>
    <w:rPr>
      <w:vertAlign w:val="superscript"/>
    </w:rPr>
  </w:style>
  <w:style w:type="paragraph" w:styleId="Sangra2detindependiente">
    <w:name w:val="Body Text Indent 2"/>
    <w:basedOn w:val="Normal"/>
    <w:link w:val="Sangra2detindependienteCar"/>
    <w:rsid w:val="000445D9"/>
    <w:pPr>
      <w:ind w:firstLine="709"/>
      <w:jc w:val="both"/>
    </w:pPr>
    <w:rPr>
      <w:rFonts w:ascii="Arial" w:eastAsia="Times New Roman" w:hAnsi="Arial"/>
      <w:lang w:val="es-ES"/>
    </w:rPr>
  </w:style>
  <w:style w:type="character" w:customStyle="1" w:styleId="Sangra2detindependienteCar">
    <w:name w:val="Sangría 2 de t. independiente Car"/>
    <w:link w:val="Sangra2detindependiente"/>
    <w:rsid w:val="007A4A78"/>
    <w:rPr>
      <w:rFonts w:ascii="Arial" w:hAnsi="Arial"/>
      <w:sz w:val="24"/>
      <w:lang w:val="es-ES" w:eastAsia="es-ES" w:bidi="ar-SA"/>
    </w:rPr>
  </w:style>
  <w:style w:type="paragraph" w:customStyle="1" w:styleId="Textoindependiente21">
    <w:name w:val="Texto independiente 21"/>
    <w:basedOn w:val="Normal"/>
    <w:rsid w:val="00884BAB"/>
    <w:pPr>
      <w:ind w:firstLine="567"/>
      <w:jc w:val="both"/>
    </w:pPr>
    <w:rPr>
      <w:rFonts w:ascii="Times New Roman" w:eastAsia="Times New Roman" w:hAnsi="Times New Roman"/>
      <w:lang w:val="es-ES"/>
    </w:rPr>
  </w:style>
  <w:style w:type="paragraph" w:styleId="Textodebloque">
    <w:name w:val="Block Text"/>
    <w:basedOn w:val="Normal"/>
    <w:rsid w:val="00B00955"/>
    <w:pPr>
      <w:widowControl w:val="0"/>
      <w:spacing w:before="120"/>
      <w:ind w:left="181" w:right="289" w:firstLine="567"/>
      <w:jc w:val="both"/>
    </w:pPr>
    <w:rPr>
      <w:rFonts w:ascii="Arial" w:eastAsia="Times New Roman" w:hAnsi="Arial"/>
      <w:szCs w:val="24"/>
      <w:lang w:val="es-ES"/>
    </w:rPr>
  </w:style>
  <w:style w:type="character" w:customStyle="1" w:styleId="IAM">
    <w:name w:val="IAM"/>
    <w:semiHidden/>
    <w:rsid w:val="00224413"/>
    <w:rPr>
      <w:rFonts w:ascii="Arial" w:hAnsi="Arial" w:cs="Arial"/>
      <w:color w:val="auto"/>
      <w:sz w:val="20"/>
      <w:szCs w:val="20"/>
    </w:rPr>
  </w:style>
  <w:style w:type="paragraph" w:styleId="NormalWeb">
    <w:name w:val="Normal (Web)"/>
    <w:basedOn w:val="Normal"/>
    <w:rsid w:val="00DD4FAA"/>
    <w:pPr>
      <w:spacing w:before="100" w:beforeAutospacing="1" w:after="100" w:afterAutospacing="1"/>
    </w:pPr>
    <w:rPr>
      <w:rFonts w:ascii="Times New Roman" w:eastAsia="Times New Roman" w:hAnsi="Times New Roman"/>
      <w:szCs w:val="24"/>
      <w:lang w:val="es-ES"/>
    </w:rPr>
  </w:style>
  <w:style w:type="paragraph" w:styleId="Textocomentario">
    <w:name w:val="annotation text"/>
    <w:basedOn w:val="Normal"/>
    <w:link w:val="TextocomentarioCar"/>
    <w:unhideWhenUsed/>
    <w:rsid w:val="00583189"/>
    <w:rPr>
      <w:rFonts w:ascii="Times New Roman" w:eastAsia="Times New Roman" w:hAnsi="Times New Roman"/>
      <w:sz w:val="20"/>
      <w:lang w:val="es-ES"/>
    </w:rPr>
  </w:style>
  <w:style w:type="character" w:customStyle="1" w:styleId="TextocomentarioCar">
    <w:name w:val="Texto comentario Car"/>
    <w:link w:val="Textocomentario"/>
    <w:rsid w:val="00583189"/>
    <w:rPr>
      <w:rFonts w:ascii="Times New Roman" w:eastAsia="Times New Roman" w:hAnsi="Times New Roman"/>
    </w:rPr>
  </w:style>
  <w:style w:type="character" w:styleId="Refdecomentario">
    <w:name w:val="annotation reference"/>
    <w:unhideWhenUsed/>
    <w:rsid w:val="00583189"/>
    <w:rPr>
      <w:sz w:val="16"/>
      <w:szCs w:val="16"/>
    </w:rPr>
  </w:style>
  <w:style w:type="paragraph" w:customStyle="1" w:styleId="texto">
    <w:name w:val="texto"/>
    <w:basedOn w:val="Normal"/>
    <w:rsid w:val="00E965C6"/>
    <w:pPr>
      <w:spacing w:before="40" w:after="100"/>
      <w:ind w:left="40" w:right="40" w:firstLine="300"/>
      <w:jc w:val="both"/>
    </w:pPr>
    <w:rPr>
      <w:rFonts w:ascii="Georgia" w:eastAsia="Times New Roman" w:hAnsi="Georgia"/>
      <w:color w:val="000000"/>
      <w:sz w:val="22"/>
      <w:szCs w:val="22"/>
      <w:lang w:val="es-ES"/>
    </w:rPr>
  </w:style>
  <w:style w:type="paragraph" w:styleId="Sangradetextonormal">
    <w:name w:val="Body Text Indent"/>
    <w:basedOn w:val="Normal"/>
    <w:link w:val="SangradetextonormalCar"/>
    <w:rsid w:val="0002556F"/>
    <w:pPr>
      <w:spacing w:after="120"/>
      <w:ind w:left="283"/>
    </w:pPr>
  </w:style>
  <w:style w:type="character" w:customStyle="1" w:styleId="SangradetextonormalCar">
    <w:name w:val="Sangría de texto normal Car"/>
    <w:link w:val="Sangradetextonormal"/>
    <w:rsid w:val="0002556F"/>
    <w:rPr>
      <w:sz w:val="24"/>
      <w:lang w:val="es-ES_tradnl"/>
    </w:rPr>
  </w:style>
  <w:style w:type="paragraph" w:customStyle="1" w:styleId="art">
    <w:name w:val="art"/>
    <w:basedOn w:val="Normal"/>
    <w:rsid w:val="00BC74F1"/>
    <w:pPr>
      <w:spacing w:before="300"/>
      <w:ind w:left="40" w:right="40"/>
      <w:jc w:val="both"/>
    </w:pPr>
    <w:rPr>
      <w:rFonts w:ascii="Georgia" w:eastAsia="Arial Unicode MS" w:hAnsi="Georgia"/>
      <w:b/>
      <w:bCs/>
      <w:i/>
      <w:iCs/>
      <w:color w:val="000000"/>
      <w:sz w:val="22"/>
      <w:szCs w:val="22"/>
      <w:lang w:val="es-ES"/>
    </w:rPr>
  </w:style>
  <w:style w:type="character" w:customStyle="1" w:styleId="ca">
    <w:name w:val="ca"/>
    <w:rsid w:val="00BC74F1"/>
  </w:style>
  <w:style w:type="paragraph" w:styleId="Prrafodelista">
    <w:name w:val="List Paragraph"/>
    <w:basedOn w:val="Normal"/>
    <w:uiPriority w:val="34"/>
    <w:qFormat/>
    <w:rsid w:val="00F63474"/>
    <w:pPr>
      <w:ind w:left="708"/>
    </w:pPr>
  </w:style>
  <w:style w:type="paragraph" w:styleId="Listaconvietas2">
    <w:name w:val="List Bullet 2"/>
    <w:basedOn w:val="Normal"/>
    <w:rsid w:val="00C6192E"/>
    <w:pPr>
      <w:numPr>
        <w:numId w:val="10"/>
      </w:numPr>
      <w:contextualSpacing/>
    </w:pPr>
  </w:style>
  <w:style w:type="paragraph" w:styleId="Puesto">
    <w:name w:val="Title"/>
    <w:basedOn w:val="Normal"/>
    <w:next w:val="Normal"/>
    <w:link w:val="PuestoCar"/>
    <w:qFormat/>
    <w:rsid w:val="00C6192E"/>
    <w:pPr>
      <w:spacing w:before="240" w:after="60"/>
      <w:jc w:val="center"/>
      <w:outlineLvl w:val="0"/>
    </w:pPr>
    <w:rPr>
      <w:rFonts w:ascii="Calibri Light" w:eastAsia="Times New Roman" w:hAnsi="Calibri Light"/>
      <w:b/>
      <w:bCs/>
      <w:kern w:val="28"/>
      <w:sz w:val="32"/>
      <w:szCs w:val="32"/>
    </w:rPr>
  </w:style>
  <w:style w:type="character" w:customStyle="1" w:styleId="PuestoCar">
    <w:name w:val="Puesto Car"/>
    <w:link w:val="Puesto"/>
    <w:rsid w:val="00C6192E"/>
    <w:rPr>
      <w:rFonts w:ascii="Calibri Light" w:eastAsia="Times New Roman" w:hAnsi="Calibri Light" w:cs="Times New Roman"/>
      <w:b/>
      <w:bCs/>
      <w:kern w:val="28"/>
      <w:sz w:val="32"/>
      <w:szCs w:val="32"/>
      <w:lang w:val="es-ES_tradnl"/>
    </w:rPr>
  </w:style>
  <w:style w:type="paragraph" w:styleId="Textoindependienteprimerasangra">
    <w:name w:val="Body Text First Indent"/>
    <w:basedOn w:val="Textoindependiente"/>
    <w:link w:val="TextoindependienteprimerasangraCar"/>
    <w:rsid w:val="00C6192E"/>
    <w:pPr>
      <w:ind w:firstLine="210"/>
    </w:pPr>
  </w:style>
  <w:style w:type="character" w:customStyle="1" w:styleId="TextoindependienteCar">
    <w:name w:val="Texto independiente Car"/>
    <w:link w:val="Textoindependiente"/>
    <w:rsid w:val="00C6192E"/>
    <w:rPr>
      <w:sz w:val="24"/>
      <w:lang w:val="es-ES_tradnl"/>
    </w:rPr>
  </w:style>
  <w:style w:type="character" w:customStyle="1" w:styleId="TextoindependienteprimerasangraCar">
    <w:name w:val="Texto independiente primera sangría Car"/>
    <w:basedOn w:val="TextoindependienteCar"/>
    <w:link w:val="Textoindependienteprimerasangra"/>
    <w:rsid w:val="00C6192E"/>
    <w:rPr>
      <w:sz w:val="24"/>
      <w:lang w:val="es-ES_tradnl"/>
    </w:rPr>
  </w:style>
  <w:style w:type="paragraph" w:styleId="Textoindependienteprimerasangra2">
    <w:name w:val="Body Text First Indent 2"/>
    <w:basedOn w:val="Sangradetextonormal"/>
    <w:link w:val="Textoindependienteprimerasangra2Car"/>
    <w:rsid w:val="00C6192E"/>
    <w:pPr>
      <w:ind w:firstLine="210"/>
    </w:pPr>
  </w:style>
  <w:style w:type="character" w:customStyle="1" w:styleId="Textoindependienteprimerasangra2Car">
    <w:name w:val="Texto independiente primera sangría 2 Car"/>
    <w:basedOn w:val="SangradetextonormalCar"/>
    <w:link w:val="Textoindependienteprimerasangra2"/>
    <w:rsid w:val="00C6192E"/>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622">
      <w:bodyDiv w:val="1"/>
      <w:marLeft w:val="0"/>
      <w:marRight w:val="0"/>
      <w:marTop w:val="0"/>
      <w:marBottom w:val="0"/>
      <w:divBdr>
        <w:top w:val="none" w:sz="0" w:space="0" w:color="auto"/>
        <w:left w:val="none" w:sz="0" w:space="0" w:color="auto"/>
        <w:bottom w:val="none" w:sz="0" w:space="0" w:color="auto"/>
        <w:right w:val="none" w:sz="0" w:space="0" w:color="auto"/>
      </w:divBdr>
    </w:div>
    <w:div w:id="133111031">
      <w:bodyDiv w:val="1"/>
      <w:marLeft w:val="0"/>
      <w:marRight w:val="0"/>
      <w:marTop w:val="0"/>
      <w:marBottom w:val="0"/>
      <w:divBdr>
        <w:top w:val="none" w:sz="0" w:space="0" w:color="auto"/>
        <w:left w:val="none" w:sz="0" w:space="0" w:color="auto"/>
        <w:bottom w:val="none" w:sz="0" w:space="0" w:color="auto"/>
        <w:right w:val="none" w:sz="0" w:space="0" w:color="auto"/>
      </w:divBdr>
    </w:div>
    <w:div w:id="225185849">
      <w:bodyDiv w:val="1"/>
      <w:marLeft w:val="0"/>
      <w:marRight w:val="0"/>
      <w:marTop w:val="0"/>
      <w:marBottom w:val="0"/>
      <w:divBdr>
        <w:top w:val="none" w:sz="0" w:space="0" w:color="auto"/>
        <w:left w:val="none" w:sz="0" w:space="0" w:color="auto"/>
        <w:bottom w:val="none" w:sz="0" w:space="0" w:color="auto"/>
        <w:right w:val="none" w:sz="0" w:space="0" w:color="auto"/>
      </w:divBdr>
    </w:div>
    <w:div w:id="307516144">
      <w:bodyDiv w:val="1"/>
      <w:marLeft w:val="0"/>
      <w:marRight w:val="0"/>
      <w:marTop w:val="0"/>
      <w:marBottom w:val="0"/>
      <w:divBdr>
        <w:top w:val="none" w:sz="0" w:space="0" w:color="auto"/>
        <w:left w:val="none" w:sz="0" w:space="0" w:color="auto"/>
        <w:bottom w:val="none" w:sz="0" w:space="0" w:color="auto"/>
        <w:right w:val="none" w:sz="0" w:space="0" w:color="auto"/>
      </w:divBdr>
    </w:div>
    <w:div w:id="391463615">
      <w:bodyDiv w:val="1"/>
      <w:marLeft w:val="0"/>
      <w:marRight w:val="0"/>
      <w:marTop w:val="0"/>
      <w:marBottom w:val="0"/>
      <w:divBdr>
        <w:top w:val="none" w:sz="0" w:space="0" w:color="auto"/>
        <w:left w:val="none" w:sz="0" w:space="0" w:color="auto"/>
        <w:bottom w:val="none" w:sz="0" w:space="0" w:color="auto"/>
        <w:right w:val="none" w:sz="0" w:space="0" w:color="auto"/>
      </w:divBdr>
    </w:div>
    <w:div w:id="424805951">
      <w:bodyDiv w:val="1"/>
      <w:marLeft w:val="0"/>
      <w:marRight w:val="0"/>
      <w:marTop w:val="0"/>
      <w:marBottom w:val="0"/>
      <w:divBdr>
        <w:top w:val="none" w:sz="0" w:space="0" w:color="auto"/>
        <w:left w:val="none" w:sz="0" w:space="0" w:color="auto"/>
        <w:bottom w:val="none" w:sz="0" w:space="0" w:color="auto"/>
        <w:right w:val="none" w:sz="0" w:space="0" w:color="auto"/>
      </w:divBdr>
    </w:div>
    <w:div w:id="510335586">
      <w:bodyDiv w:val="1"/>
      <w:marLeft w:val="0"/>
      <w:marRight w:val="0"/>
      <w:marTop w:val="0"/>
      <w:marBottom w:val="0"/>
      <w:divBdr>
        <w:top w:val="none" w:sz="0" w:space="0" w:color="auto"/>
        <w:left w:val="none" w:sz="0" w:space="0" w:color="auto"/>
        <w:bottom w:val="none" w:sz="0" w:space="0" w:color="auto"/>
        <w:right w:val="none" w:sz="0" w:space="0" w:color="auto"/>
      </w:divBdr>
    </w:div>
    <w:div w:id="546533695">
      <w:bodyDiv w:val="1"/>
      <w:marLeft w:val="0"/>
      <w:marRight w:val="0"/>
      <w:marTop w:val="0"/>
      <w:marBottom w:val="0"/>
      <w:divBdr>
        <w:top w:val="none" w:sz="0" w:space="0" w:color="auto"/>
        <w:left w:val="none" w:sz="0" w:space="0" w:color="auto"/>
        <w:bottom w:val="none" w:sz="0" w:space="0" w:color="auto"/>
        <w:right w:val="none" w:sz="0" w:space="0" w:color="auto"/>
      </w:divBdr>
    </w:div>
    <w:div w:id="620457145">
      <w:bodyDiv w:val="1"/>
      <w:marLeft w:val="0"/>
      <w:marRight w:val="0"/>
      <w:marTop w:val="0"/>
      <w:marBottom w:val="0"/>
      <w:divBdr>
        <w:top w:val="none" w:sz="0" w:space="0" w:color="auto"/>
        <w:left w:val="none" w:sz="0" w:space="0" w:color="auto"/>
        <w:bottom w:val="none" w:sz="0" w:space="0" w:color="auto"/>
        <w:right w:val="none" w:sz="0" w:space="0" w:color="auto"/>
      </w:divBdr>
    </w:div>
    <w:div w:id="620498467">
      <w:bodyDiv w:val="1"/>
      <w:marLeft w:val="0"/>
      <w:marRight w:val="0"/>
      <w:marTop w:val="0"/>
      <w:marBottom w:val="0"/>
      <w:divBdr>
        <w:top w:val="none" w:sz="0" w:space="0" w:color="auto"/>
        <w:left w:val="none" w:sz="0" w:space="0" w:color="auto"/>
        <w:bottom w:val="none" w:sz="0" w:space="0" w:color="auto"/>
        <w:right w:val="none" w:sz="0" w:space="0" w:color="auto"/>
      </w:divBdr>
    </w:div>
    <w:div w:id="630786841">
      <w:bodyDiv w:val="1"/>
      <w:marLeft w:val="0"/>
      <w:marRight w:val="0"/>
      <w:marTop w:val="0"/>
      <w:marBottom w:val="0"/>
      <w:divBdr>
        <w:top w:val="none" w:sz="0" w:space="0" w:color="auto"/>
        <w:left w:val="none" w:sz="0" w:space="0" w:color="auto"/>
        <w:bottom w:val="none" w:sz="0" w:space="0" w:color="auto"/>
        <w:right w:val="none" w:sz="0" w:space="0" w:color="auto"/>
      </w:divBdr>
    </w:div>
    <w:div w:id="721442646">
      <w:bodyDiv w:val="1"/>
      <w:marLeft w:val="0"/>
      <w:marRight w:val="0"/>
      <w:marTop w:val="0"/>
      <w:marBottom w:val="0"/>
      <w:divBdr>
        <w:top w:val="none" w:sz="0" w:space="0" w:color="auto"/>
        <w:left w:val="none" w:sz="0" w:space="0" w:color="auto"/>
        <w:bottom w:val="none" w:sz="0" w:space="0" w:color="auto"/>
        <w:right w:val="none" w:sz="0" w:space="0" w:color="auto"/>
      </w:divBdr>
    </w:div>
    <w:div w:id="886376785">
      <w:bodyDiv w:val="1"/>
      <w:marLeft w:val="0"/>
      <w:marRight w:val="0"/>
      <w:marTop w:val="0"/>
      <w:marBottom w:val="0"/>
      <w:divBdr>
        <w:top w:val="none" w:sz="0" w:space="0" w:color="auto"/>
        <w:left w:val="none" w:sz="0" w:space="0" w:color="auto"/>
        <w:bottom w:val="none" w:sz="0" w:space="0" w:color="auto"/>
        <w:right w:val="none" w:sz="0" w:space="0" w:color="auto"/>
      </w:divBdr>
    </w:div>
    <w:div w:id="1005135319">
      <w:bodyDiv w:val="1"/>
      <w:marLeft w:val="0"/>
      <w:marRight w:val="0"/>
      <w:marTop w:val="0"/>
      <w:marBottom w:val="0"/>
      <w:divBdr>
        <w:top w:val="none" w:sz="0" w:space="0" w:color="auto"/>
        <w:left w:val="none" w:sz="0" w:space="0" w:color="auto"/>
        <w:bottom w:val="none" w:sz="0" w:space="0" w:color="auto"/>
        <w:right w:val="none" w:sz="0" w:space="0" w:color="auto"/>
      </w:divBdr>
    </w:div>
    <w:div w:id="1079212297">
      <w:bodyDiv w:val="1"/>
      <w:marLeft w:val="0"/>
      <w:marRight w:val="0"/>
      <w:marTop w:val="0"/>
      <w:marBottom w:val="0"/>
      <w:divBdr>
        <w:top w:val="none" w:sz="0" w:space="0" w:color="auto"/>
        <w:left w:val="none" w:sz="0" w:space="0" w:color="auto"/>
        <w:bottom w:val="none" w:sz="0" w:space="0" w:color="auto"/>
        <w:right w:val="none" w:sz="0" w:space="0" w:color="auto"/>
      </w:divBdr>
    </w:div>
    <w:div w:id="1116675976">
      <w:bodyDiv w:val="1"/>
      <w:marLeft w:val="0"/>
      <w:marRight w:val="0"/>
      <w:marTop w:val="0"/>
      <w:marBottom w:val="0"/>
      <w:divBdr>
        <w:top w:val="none" w:sz="0" w:space="0" w:color="auto"/>
        <w:left w:val="none" w:sz="0" w:space="0" w:color="auto"/>
        <w:bottom w:val="none" w:sz="0" w:space="0" w:color="auto"/>
        <w:right w:val="none" w:sz="0" w:space="0" w:color="auto"/>
      </w:divBdr>
    </w:div>
    <w:div w:id="1124734089">
      <w:bodyDiv w:val="1"/>
      <w:marLeft w:val="0"/>
      <w:marRight w:val="0"/>
      <w:marTop w:val="0"/>
      <w:marBottom w:val="0"/>
      <w:divBdr>
        <w:top w:val="none" w:sz="0" w:space="0" w:color="auto"/>
        <w:left w:val="none" w:sz="0" w:space="0" w:color="auto"/>
        <w:bottom w:val="none" w:sz="0" w:space="0" w:color="auto"/>
        <w:right w:val="none" w:sz="0" w:space="0" w:color="auto"/>
      </w:divBdr>
    </w:div>
    <w:div w:id="1140809500">
      <w:bodyDiv w:val="1"/>
      <w:marLeft w:val="0"/>
      <w:marRight w:val="0"/>
      <w:marTop w:val="0"/>
      <w:marBottom w:val="0"/>
      <w:divBdr>
        <w:top w:val="none" w:sz="0" w:space="0" w:color="auto"/>
        <w:left w:val="none" w:sz="0" w:space="0" w:color="auto"/>
        <w:bottom w:val="none" w:sz="0" w:space="0" w:color="auto"/>
        <w:right w:val="none" w:sz="0" w:space="0" w:color="auto"/>
      </w:divBdr>
    </w:div>
    <w:div w:id="1204098055">
      <w:bodyDiv w:val="1"/>
      <w:marLeft w:val="0"/>
      <w:marRight w:val="0"/>
      <w:marTop w:val="0"/>
      <w:marBottom w:val="0"/>
      <w:divBdr>
        <w:top w:val="none" w:sz="0" w:space="0" w:color="auto"/>
        <w:left w:val="none" w:sz="0" w:space="0" w:color="auto"/>
        <w:bottom w:val="none" w:sz="0" w:space="0" w:color="auto"/>
        <w:right w:val="none" w:sz="0" w:space="0" w:color="auto"/>
      </w:divBdr>
    </w:div>
    <w:div w:id="1205748424">
      <w:bodyDiv w:val="1"/>
      <w:marLeft w:val="0"/>
      <w:marRight w:val="0"/>
      <w:marTop w:val="0"/>
      <w:marBottom w:val="0"/>
      <w:divBdr>
        <w:top w:val="none" w:sz="0" w:space="0" w:color="auto"/>
        <w:left w:val="none" w:sz="0" w:space="0" w:color="auto"/>
        <w:bottom w:val="none" w:sz="0" w:space="0" w:color="auto"/>
        <w:right w:val="none" w:sz="0" w:space="0" w:color="auto"/>
      </w:divBdr>
    </w:div>
    <w:div w:id="1216308690">
      <w:bodyDiv w:val="1"/>
      <w:marLeft w:val="0"/>
      <w:marRight w:val="0"/>
      <w:marTop w:val="0"/>
      <w:marBottom w:val="0"/>
      <w:divBdr>
        <w:top w:val="none" w:sz="0" w:space="0" w:color="auto"/>
        <w:left w:val="none" w:sz="0" w:space="0" w:color="auto"/>
        <w:bottom w:val="none" w:sz="0" w:space="0" w:color="auto"/>
        <w:right w:val="none" w:sz="0" w:space="0" w:color="auto"/>
      </w:divBdr>
    </w:div>
    <w:div w:id="1239747618">
      <w:bodyDiv w:val="1"/>
      <w:marLeft w:val="0"/>
      <w:marRight w:val="0"/>
      <w:marTop w:val="0"/>
      <w:marBottom w:val="0"/>
      <w:divBdr>
        <w:top w:val="none" w:sz="0" w:space="0" w:color="auto"/>
        <w:left w:val="none" w:sz="0" w:space="0" w:color="auto"/>
        <w:bottom w:val="none" w:sz="0" w:space="0" w:color="auto"/>
        <w:right w:val="none" w:sz="0" w:space="0" w:color="auto"/>
      </w:divBdr>
    </w:div>
    <w:div w:id="1271859502">
      <w:bodyDiv w:val="1"/>
      <w:marLeft w:val="0"/>
      <w:marRight w:val="0"/>
      <w:marTop w:val="0"/>
      <w:marBottom w:val="0"/>
      <w:divBdr>
        <w:top w:val="none" w:sz="0" w:space="0" w:color="auto"/>
        <w:left w:val="none" w:sz="0" w:space="0" w:color="auto"/>
        <w:bottom w:val="none" w:sz="0" w:space="0" w:color="auto"/>
        <w:right w:val="none" w:sz="0" w:space="0" w:color="auto"/>
      </w:divBdr>
    </w:div>
    <w:div w:id="1295135868">
      <w:bodyDiv w:val="1"/>
      <w:marLeft w:val="0"/>
      <w:marRight w:val="0"/>
      <w:marTop w:val="0"/>
      <w:marBottom w:val="0"/>
      <w:divBdr>
        <w:top w:val="none" w:sz="0" w:space="0" w:color="auto"/>
        <w:left w:val="none" w:sz="0" w:space="0" w:color="auto"/>
        <w:bottom w:val="none" w:sz="0" w:space="0" w:color="auto"/>
        <w:right w:val="none" w:sz="0" w:space="0" w:color="auto"/>
      </w:divBdr>
    </w:div>
    <w:div w:id="1309046196">
      <w:bodyDiv w:val="1"/>
      <w:marLeft w:val="0"/>
      <w:marRight w:val="0"/>
      <w:marTop w:val="0"/>
      <w:marBottom w:val="0"/>
      <w:divBdr>
        <w:top w:val="none" w:sz="0" w:space="0" w:color="auto"/>
        <w:left w:val="none" w:sz="0" w:space="0" w:color="auto"/>
        <w:bottom w:val="none" w:sz="0" w:space="0" w:color="auto"/>
        <w:right w:val="none" w:sz="0" w:space="0" w:color="auto"/>
      </w:divBdr>
    </w:div>
    <w:div w:id="1432164186">
      <w:bodyDiv w:val="1"/>
      <w:marLeft w:val="0"/>
      <w:marRight w:val="0"/>
      <w:marTop w:val="0"/>
      <w:marBottom w:val="0"/>
      <w:divBdr>
        <w:top w:val="none" w:sz="0" w:space="0" w:color="auto"/>
        <w:left w:val="none" w:sz="0" w:space="0" w:color="auto"/>
        <w:bottom w:val="none" w:sz="0" w:space="0" w:color="auto"/>
        <w:right w:val="none" w:sz="0" w:space="0" w:color="auto"/>
      </w:divBdr>
    </w:div>
    <w:div w:id="1534996479">
      <w:bodyDiv w:val="1"/>
      <w:marLeft w:val="0"/>
      <w:marRight w:val="0"/>
      <w:marTop w:val="0"/>
      <w:marBottom w:val="0"/>
      <w:divBdr>
        <w:top w:val="none" w:sz="0" w:space="0" w:color="auto"/>
        <w:left w:val="none" w:sz="0" w:space="0" w:color="auto"/>
        <w:bottom w:val="none" w:sz="0" w:space="0" w:color="auto"/>
        <w:right w:val="none" w:sz="0" w:space="0" w:color="auto"/>
      </w:divBdr>
    </w:div>
    <w:div w:id="1546792442">
      <w:bodyDiv w:val="1"/>
      <w:marLeft w:val="0"/>
      <w:marRight w:val="0"/>
      <w:marTop w:val="0"/>
      <w:marBottom w:val="0"/>
      <w:divBdr>
        <w:top w:val="none" w:sz="0" w:space="0" w:color="auto"/>
        <w:left w:val="none" w:sz="0" w:space="0" w:color="auto"/>
        <w:bottom w:val="none" w:sz="0" w:space="0" w:color="auto"/>
        <w:right w:val="none" w:sz="0" w:space="0" w:color="auto"/>
      </w:divBdr>
    </w:div>
    <w:div w:id="1550260701">
      <w:bodyDiv w:val="1"/>
      <w:marLeft w:val="0"/>
      <w:marRight w:val="0"/>
      <w:marTop w:val="0"/>
      <w:marBottom w:val="0"/>
      <w:divBdr>
        <w:top w:val="none" w:sz="0" w:space="0" w:color="auto"/>
        <w:left w:val="none" w:sz="0" w:space="0" w:color="auto"/>
        <w:bottom w:val="none" w:sz="0" w:space="0" w:color="auto"/>
        <w:right w:val="none" w:sz="0" w:space="0" w:color="auto"/>
      </w:divBdr>
    </w:div>
    <w:div w:id="1582984839">
      <w:bodyDiv w:val="1"/>
      <w:marLeft w:val="0"/>
      <w:marRight w:val="0"/>
      <w:marTop w:val="0"/>
      <w:marBottom w:val="0"/>
      <w:divBdr>
        <w:top w:val="none" w:sz="0" w:space="0" w:color="auto"/>
        <w:left w:val="none" w:sz="0" w:space="0" w:color="auto"/>
        <w:bottom w:val="none" w:sz="0" w:space="0" w:color="auto"/>
        <w:right w:val="none" w:sz="0" w:space="0" w:color="auto"/>
      </w:divBdr>
    </w:div>
    <w:div w:id="1663239590">
      <w:bodyDiv w:val="1"/>
      <w:marLeft w:val="0"/>
      <w:marRight w:val="0"/>
      <w:marTop w:val="0"/>
      <w:marBottom w:val="0"/>
      <w:divBdr>
        <w:top w:val="none" w:sz="0" w:space="0" w:color="auto"/>
        <w:left w:val="none" w:sz="0" w:space="0" w:color="auto"/>
        <w:bottom w:val="none" w:sz="0" w:space="0" w:color="auto"/>
        <w:right w:val="none" w:sz="0" w:space="0" w:color="auto"/>
      </w:divBdr>
    </w:div>
    <w:div w:id="1681353458">
      <w:bodyDiv w:val="1"/>
      <w:marLeft w:val="0"/>
      <w:marRight w:val="0"/>
      <w:marTop w:val="0"/>
      <w:marBottom w:val="0"/>
      <w:divBdr>
        <w:top w:val="none" w:sz="0" w:space="0" w:color="auto"/>
        <w:left w:val="none" w:sz="0" w:space="0" w:color="auto"/>
        <w:bottom w:val="none" w:sz="0" w:space="0" w:color="auto"/>
        <w:right w:val="none" w:sz="0" w:space="0" w:color="auto"/>
      </w:divBdr>
    </w:div>
    <w:div w:id="1714842069">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00747531">
      <w:bodyDiv w:val="1"/>
      <w:marLeft w:val="0"/>
      <w:marRight w:val="0"/>
      <w:marTop w:val="0"/>
      <w:marBottom w:val="0"/>
      <w:divBdr>
        <w:top w:val="none" w:sz="0" w:space="0" w:color="auto"/>
        <w:left w:val="none" w:sz="0" w:space="0" w:color="auto"/>
        <w:bottom w:val="none" w:sz="0" w:space="0" w:color="auto"/>
        <w:right w:val="none" w:sz="0" w:space="0" w:color="auto"/>
      </w:divBdr>
    </w:div>
    <w:div w:id="1983272468">
      <w:bodyDiv w:val="1"/>
      <w:marLeft w:val="0"/>
      <w:marRight w:val="0"/>
      <w:marTop w:val="0"/>
      <w:marBottom w:val="0"/>
      <w:divBdr>
        <w:top w:val="none" w:sz="0" w:space="0" w:color="auto"/>
        <w:left w:val="none" w:sz="0" w:space="0" w:color="auto"/>
        <w:bottom w:val="none" w:sz="0" w:space="0" w:color="auto"/>
        <w:right w:val="none" w:sz="0" w:space="0" w:color="auto"/>
      </w:divBdr>
    </w:div>
    <w:div w:id="2011398110">
      <w:bodyDiv w:val="1"/>
      <w:marLeft w:val="0"/>
      <w:marRight w:val="0"/>
      <w:marTop w:val="0"/>
      <w:marBottom w:val="0"/>
      <w:divBdr>
        <w:top w:val="none" w:sz="0" w:space="0" w:color="auto"/>
        <w:left w:val="none" w:sz="0" w:space="0" w:color="auto"/>
        <w:bottom w:val="none" w:sz="0" w:space="0" w:color="auto"/>
        <w:right w:val="none" w:sz="0" w:space="0" w:color="auto"/>
      </w:divBdr>
    </w:div>
    <w:div w:id="2019893035">
      <w:bodyDiv w:val="1"/>
      <w:marLeft w:val="0"/>
      <w:marRight w:val="0"/>
      <w:marTop w:val="0"/>
      <w:marBottom w:val="0"/>
      <w:divBdr>
        <w:top w:val="none" w:sz="0" w:space="0" w:color="auto"/>
        <w:left w:val="none" w:sz="0" w:space="0" w:color="auto"/>
        <w:bottom w:val="none" w:sz="0" w:space="0" w:color="auto"/>
        <w:right w:val="none" w:sz="0" w:space="0" w:color="auto"/>
      </w:divBdr>
    </w:div>
    <w:div w:id="2029480557">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 w:id="2099449090">
      <w:bodyDiv w:val="1"/>
      <w:marLeft w:val="0"/>
      <w:marRight w:val="0"/>
      <w:marTop w:val="0"/>
      <w:marBottom w:val="0"/>
      <w:divBdr>
        <w:top w:val="none" w:sz="0" w:space="0" w:color="auto"/>
        <w:left w:val="none" w:sz="0" w:space="0" w:color="auto"/>
        <w:bottom w:val="none" w:sz="0" w:space="0" w:color="auto"/>
        <w:right w:val="none" w:sz="0" w:space="0" w:color="auto"/>
      </w:divBdr>
    </w:div>
    <w:div w:id="21230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1201</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Esto es una prueba</vt:lpstr>
    </vt:vector>
  </TitlesOfParts>
  <Company>SGSJT</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 es una prueba</dc:title>
  <dc:subject/>
  <dc:creator>JAM</dc:creator>
  <cp:keywords/>
  <cp:lastModifiedBy>Juan Carlos Anquela Mencía</cp:lastModifiedBy>
  <cp:revision>6</cp:revision>
  <cp:lastPrinted>2016-08-30T08:13:00Z</cp:lastPrinted>
  <dcterms:created xsi:type="dcterms:W3CDTF">2016-09-19T05:53:00Z</dcterms:created>
  <dcterms:modified xsi:type="dcterms:W3CDTF">2016-10-06T12:35:00Z</dcterms:modified>
</cp:coreProperties>
</file>